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41FF9" w:rsidRPr="00233902" w:rsidRDefault="00141FF9">
      <w:pPr>
        <w:rPr>
          <w:rFonts w:ascii="Arial" w:hAnsi="Arial" w:cs="Arial"/>
          <w:sz w:val="24"/>
          <w:szCs w:val="24"/>
        </w:rPr>
      </w:pPr>
    </w:p>
    <w:p w:rsidR="00346663" w:rsidRPr="00233902" w:rsidRDefault="00346663" w:rsidP="00346663">
      <w:pPr>
        <w:jc w:val="center"/>
        <w:rPr>
          <w:rFonts w:ascii="Arial" w:hAnsi="Arial" w:cs="Arial"/>
          <w:b/>
          <w:bCs/>
          <w:color w:val="1F3864" w:themeColor="accent1" w:themeShade="80"/>
          <w:sz w:val="24"/>
          <w:szCs w:val="24"/>
        </w:rPr>
      </w:pPr>
      <w:r w:rsidRPr="00233902">
        <w:rPr>
          <w:rFonts w:ascii="Arial" w:hAnsi="Arial" w:cs="Arial"/>
          <w:b/>
          <w:bCs/>
          <w:color w:val="1F3864" w:themeColor="accent1" w:themeShade="80"/>
          <w:sz w:val="24"/>
          <w:szCs w:val="24"/>
        </w:rPr>
        <w:t xml:space="preserve">Lancashire and South Cumbria Women’s Health </w:t>
      </w:r>
      <w:r w:rsidR="00D445B4" w:rsidRPr="00233902">
        <w:rPr>
          <w:rFonts w:ascii="Arial" w:hAnsi="Arial" w:cs="Arial"/>
          <w:b/>
          <w:bCs/>
          <w:color w:val="1F3864" w:themeColor="accent1" w:themeShade="80"/>
          <w:sz w:val="24"/>
          <w:szCs w:val="24"/>
        </w:rPr>
        <w:t>Board</w:t>
      </w:r>
    </w:p>
    <w:tbl>
      <w:tblPr>
        <w:tblStyle w:val="TableGrid"/>
        <w:tblW w:w="0" w:type="auto"/>
        <w:tblLook w:val="04A0" w:firstRow="1" w:lastRow="0" w:firstColumn="1" w:lastColumn="0" w:noHBand="0" w:noVBand="1"/>
      </w:tblPr>
      <w:tblGrid>
        <w:gridCol w:w="3032"/>
        <w:gridCol w:w="5984"/>
      </w:tblGrid>
      <w:tr w:rsidR="00141FF9" w:rsidRPr="00233902" w:rsidTr="007C7C29">
        <w:tc>
          <w:tcPr>
            <w:tcW w:w="3032" w:type="dxa"/>
            <w:shd w:val="clear" w:color="auto" w:fill="1F3864" w:themeFill="accent1" w:themeFillShade="80"/>
          </w:tcPr>
          <w:p w:rsidR="00141FF9" w:rsidRPr="00233902" w:rsidRDefault="00141FF9" w:rsidP="009D45F7">
            <w:pPr>
              <w:jc w:val="both"/>
              <w:rPr>
                <w:rFonts w:eastAsia="Calibri" w:cs="Arial"/>
                <w:b/>
                <w:color w:val="FFFFFF" w:themeColor="background1"/>
              </w:rPr>
            </w:pPr>
            <w:r w:rsidRPr="00233902">
              <w:rPr>
                <w:rFonts w:eastAsia="Calibri" w:cs="Arial"/>
                <w:b/>
                <w:color w:val="FFFFFF" w:themeColor="background1"/>
              </w:rPr>
              <w:t>Description</w:t>
            </w:r>
          </w:p>
        </w:tc>
        <w:tc>
          <w:tcPr>
            <w:tcW w:w="5984" w:type="dxa"/>
            <w:shd w:val="clear" w:color="auto" w:fill="1F3864" w:themeFill="accent1" w:themeFillShade="80"/>
          </w:tcPr>
          <w:p w:rsidR="00815E0D" w:rsidRPr="00233902" w:rsidRDefault="00141FF9" w:rsidP="009D45F7">
            <w:pPr>
              <w:jc w:val="both"/>
              <w:rPr>
                <w:rFonts w:eastAsia="Calibri" w:cs="Arial"/>
                <w:b/>
                <w:color w:val="FFFFFF" w:themeColor="background1"/>
              </w:rPr>
            </w:pPr>
            <w:r w:rsidRPr="00233902">
              <w:rPr>
                <w:rFonts w:eastAsia="Calibri" w:cs="Arial"/>
                <w:b/>
                <w:color w:val="FFFFFF" w:themeColor="background1"/>
              </w:rPr>
              <w:t>Comment</w:t>
            </w:r>
          </w:p>
        </w:tc>
      </w:tr>
      <w:tr w:rsidR="00141FF9" w:rsidRPr="00233902" w:rsidTr="00815E0D">
        <w:tc>
          <w:tcPr>
            <w:tcW w:w="3032" w:type="dxa"/>
          </w:tcPr>
          <w:p w:rsidR="00141FF9" w:rsidRPr="00233902" w:rsidRDefault="00141FF9" w:rsidP="009D45F7">
            <w:pPr>
              <w:jc w:val="both"/>
              <w:rPr>
                <w:rFonts w:eastAsia="Calibri" w:cs="Arial"/>
              </w:rPr>
            </w:pPr>
            <w:r w:rsidRPr="00233902">
              <w:rPr>
                <w:rFonts w:eastAsia="Calibri" w:cs="Arial"/>
              </w:rPr>
              <w:t>Title</w:t>
            </w:r>
          </w:p>
        </w:tc>
        <w:tc>
          <w:tcPr>
            <w:tcW w:w="5984" w:type="dxa"/>
          </w:tcPr>
          <w:p w:rsidR="00141FF9" w:rsidRPr="00233902" w:rsidRDefault="00141FF9" w:rsidP="009D45F7">
            <w:pPr>
              <w:jc w:val="both"/>
              <w:rPr>
                <w:rFonts w:eastAsia="Calibri" w:cs="Arial"/>
              </w:rPr>
            </w:pPr>
            <w:r w:rsidRPr="00233902">
              <w:rPr>
                <w:rFonts w:eastAsia="Calibri" w:cs="Arial"/>
              </w:rPr>
              <w:t>Lancashire and South Cumbria</w:t>
            </w:r>
            <w:r w:rsidR="00821384" w:rsidRPr="00233902">
              <w:rPr>
                <w:rFonts w:eastAsia="Calibri" w:cs="Arial"/>
              </w:rPr>
              <w:t xml:space="preserve"> (L</w:t>
            </w:r>
            <w:r w:rsidR="00ED1ACC" w:rsidRPr="00233902">
              <w:rPr>
                <w:rFonts w:eastAsia="Calibri" w:cs="Arial"/>
              </w:rPr>
              <w:t>&amp;SC)</w:t>
            </w:r>
            <w:r w:rsidR="00F936DE" w:rsidRPr="00233902">
              <w:rPr>
                <w:rFonts w:eastAsia="Calibri" w:cs="Arial"/>
              </w:rPr>
              <w:t xml:space="preserve"> Integrated Care Board</w:t>
            </w:r>
          </w:p>
          <w:p w:rsidR="00141FF9" w:rsidRPr="00233902" w:rsidRDefault="00E33D15" w:rsidP="009D45F7">
            <w:pPr>
              <w:jc w:val="both"/>
              <w:rPr>
                <w:rFonts w:eastAsia="Calibri" w:cs="Arial"/>
              </w:rPr>
            </w:pPr>
            <w:r w:rsidRPr="00233902">
              <w:rPr>
                <w:rFonts w:eastAsia="Calibri" w:cs="Arial"/>
              </w:rPr>
              <w:t xml:space="preserve">Women’s Health </w:t>
            </w:r>
            <w:r w:rsidR="00595334" w:rsidRPr="00233902">
              <w:rPr>
                <w:rFonts w:eastAsia="Calibri" w:cs="Arial"/>
              </w:rPr>
              <w:t>board</w:t>
            </w:r>
            <w:r w:rsidR="00550364" w:rsidRPr="00233902">
              <w:rPr>
                <w:rFonts w:eastAsia="Calibri" w:cs="Arial"/>
              </w:rPr>
              <w:t xml:space="preserve"> Terms of Reference</w:t>
            </w:r>
          </w:p>
        </w:tc>
      </w:tr>
      <w:tr w:rsidR="00141FF9" w:rsidRPr="00233902" w:rsidTr="00815E0D">
        <w:tc>
          <w:tcPr>
            <w:tcW w:w="3032" w:type="dxa"/>
          </w:tcPr>
          <w:p w:rsidR="00141FF9" w:rsidRPr="00233902" w:rsidRDefault="00141FF9" w:rsidP="009D45F7">
            <w:pPr>
              <w:jc w:val="both"/>
              <w:rPr>
                <w:rFonts w:eastAsia="Calibri" w:cs="Arial"/>
              </w:rPr>
            </w:pPr>
            <w:r w:rsidRPr="00233902">
              <w:rPr>
                <w:rFonts w:eastAsia="Calibri" w:cs="Arial"/>
              </w:rPr>
              <w:t>Author</w:t>
            </w:r>
          </w:p>
        </w:tc>
        <w:tc>
          <w:tcPr>
            <w:tcW w:w="5984" w:type="dxa"/>
          </w:tcPr>
          <w:p w:rsidR="00141FF9" w:rsidRPr="00233902" w:rsidRDefault="00744A3D" w:rsidP="009D45F7">
            <w:pPr>
              <w:jc w:val="both"/>
              <w:rPr>
                <w:rFonts w:eastAsia="Calibri" w:cs="Arial"/>
              </w:rPr>
            </w:pPr>
            <w:r w:rsidRPr="00233902">
              <w:rPr>
                <w:rFonts w:eastAsia="Calibri" w:cs="Arial"/>
              </w:rPr>
              <w:t>Sarah Bibby</w:t>
            </w:r>
          </w:p>
        </w:tc>
      </w:tr>
      <w:tr w:rsidR="00141FF9" w:rsidRPr="00233902" w:rsidTr="00815E0D">
        <w:tc>
          <w:tcPr>
            <w:tcW w:w="3032" w:type="dxa"/>
          </w:tcPr>
          <w:p w:rsidR="00141FF9" w:rsidRPr="00233902" w:rsidRDefault="00141FF9" w:rsidP="009D45F7">
            <w:pPr>
              <w:jc w:val="both"/>
              <w:rPr>
                <w:rFonts w:eastAsia="Calibri" w:cs="Arial"/>
              </w:rPr>
            </w:pPr>
            <w:r w:rsidRPr="00233902">
              <w:rPr>
                <w:rFonts w:eastAsia="Calibri" w:cs="Arial"/>
              </w:rPr>
              <w:t>Date Created</w:t>
            </w:r>
          </w:p>
        </w:tc>
        <w:tc>
          <w:tcPr>
            <w:tcW w:w="5984" w:type="dxa"/>
          </w:tcPr>
          <w:p w:rsidR="00141FF9" w:rsidRPr="00233902" w:rsidRDefault="00141FF9" w:rsidP="009D45F7">
            <w:pPr>
              <w:jc w:val="both"/>
              <w:rPr>
                <w:rFonts w:eastAsia="Calibri" w:cs="Arial"/>
              </w:rPr>
            </w:pPr>
            <w:r w:rsidRPr="00233902">
              <w:rPr>
                <w:rFonts w:eastAsia="Calibri" w:cs="Arial"/>
              </w:rPr>
              <w:t>2</w:t>
            </w:r>
            <w:r w:rsidR="003F5CF2" w:rsidRPr="00233902">
              <w:rPr>
                <w:rFonts w:eastAsia="Calibri" w:cs="Arial"/>
              </w:rPr>
              <w:t>2/4/2024</w:t>
            </w:r>
          </w:p>
        </w:tc>
      </w:tr>
      <w:tr w:rsidR="00141FF9" w:rsidRPr="00233902" w:rsidTr="00815E0D">
        <w:tc>
          <w:tcPr>
            <w:tcW w:w="3032" w:type="dxa"/>
          </w:tcPr>
          <w:p w:rsidR="00141FF9" w:rsidRPr="00233902" w:rsidRDefault="00141FF9" w:rsidP="009D45F7">
            <w:pPr>
              <w:jc w:val="both"/>
              <w:rPr>
                <w:rFonts w:eastAsia="Calibri" w:cs="Arial"/>
              </w:rPr>
            </w:pPr>
            <w:r w:rsidRPr="00233902">
              <w:rPr>
                <w:rFonts w:eastAsia="Calibri" w:cs="Arial"/>
              </w:rPr>
              <w:t>Version</w:t>
            </w:r>
          </w:p>
        </w:tc>
        <w:tc>
          <w:tcPr>
            <w:tcW w:w="5984" w:type="dxa"/>
          </w:tcPr>
          <w:p w:rsidR="00141FF9" w:rsidRPr="00233902" w:rsidRDefault="00141FF9" w:rsidP="009D45F7">
            <w:pPr>
              <w:jc w:val="both"/>
              <w:rPr>
                <w:rFonts w:eastAsia="Calibri" w:cs="Arial"/>
              </w:rPr>
            </w:pPr>
            <w:r w:rsidRPr="00233902">
              <w:rPr>
                <w:rFonts w:eastAsia="Calibri" w:cs="Arial"/>
              </w:rPr>
              <w:t>V</w:t>
            </w:r>
            <w:r w:rsidR="003F5CF2" w:rsidRPr="00233902">
              <w:rPr>
                <w:rFonts w:eastAsia="Calibri" w:cs="Arial"/>
              </w:rPr>
              <w:t>1.0</w:t>
            </w:r>
          </w:p>
        </w:tc>
      </w:tr>
      <w:tr w:rsidR="00141FF9" w:rsidRPr="00233902" w:rsidTr="00815E0D">
        <w:tc>
          <w:tcPr>
            <w:tcW w:w="3032" w:type="dxa"/>
          </w:tcPr>
          <w:p w:rsidR="00141FF9" w:rsidRPr="00233902" w:rsidRDefault="00141FF9" w:rsidP="009D45F7">
            <w:pPr>
              <w:jc w:val="both"/>
              <w:rPr>
                <w:rFonts w:eastAsia="Calibri" w:cs="Arial"/>
              </w:rPr>
            </w:pPr>
            <w:r w:rsidRPr="00233902">
              <w:rPr>
                <w:rFonts w:eastAsia="Calibri" w:cs="Arial"/>
              </w:rPr>
              <w:t>Approved By</w:t>
            </w:r>
          </w:p>
        </w:tc>
        <w:tc>
          <w:tcPr>
            <w:tcW w:w="5984" w:type="dxa"/>
          </w:tcPr>
          <w:p w:rsidR="00141FF9" w:rsidRPr="00233902" w:rsidRDefault="00233902" w:rsidP="009D45F7">
            <w:pPr>
              <w:jc w:val="both"/>
              <w:rPr>
                <w:rFonts w:eastAsia="Calibri" w:cs="Arial"/>
              </w:rPr>
            </w:pPr>
            <w:r>
              <w:rPr>
                <w:rFonts w:eastAsia="Calibri" w:cs="Arial"/>
              </w:rPr>
              <w:t>Woman’s Health Board</w:t>
            </w:r>
          </w:p>
        </w:tc>
      </w:tr>
      <w:tr w:rsidR="00141FF9" w:rsidRPr="00233902" w:rsidTr="00815E0D">
        <w:tc>
          <w:tcPr>
            <w:tcW w:w="3032" w:type="dxa"/>
          </w:tcPr>
          <w:p w:rsidR="00141FF9" w:rsidRPr="00233902" w:rsidRDefault="00141FF9" w:rsidP="009D45F7">
            <w:pPr>
              <w:jc w:val="both"/>
              <w:rPr>
                <w:rFonts w:eastAsia="Calibri" w:cs="Arial"/>
              </w:rPr>
            </w:pPr>
            <w:r w:rsidRPr="00233902">
              <w:rPr>
                <w:rFonts w:eastAsia="Calibri" w:cs="Arial"/>
              </w:rPr>
              <w:t>Review Date</w:t>
            </w:r>
          </w:p>
        </w:tc>
        <w:tc>
          <w:tcPr>
            <w:tcW w:w="5984" w:type="dxa"/>
          </w:tcPr>
          <w:p w:rsidR="00141FF9" w:rsidRPr="00233902" w:rsidRDefault="00141FF9" w:rsidP="009D45F7">
            <w:pPr>
              <w:jc w:val="both"/>
              <w:rPr>
                <w:rFonts w:eastAsia="Calibri" w:cs="Arial"/>
              </w:rPr>
            </w:pPr>
          </w:p>
        </w:tc>
      </w:tr>
      <w:tr w:rsidR="00141FF9" w:rsidRPr="00233902" w:rsidTr="00815E0D">
        <w:tc>
          <w:tcPr>
            <w:tcW w:w="3032" w:type="dxa"/>
          </w:tcPr>
          <w:p w:rsidR="00141FF9" w:rsidRPr="00233902" w:rsidRDefault="00141FF9" w:rsidP="009D45F7">
            <w:pPr>
              <w:jc w:val="both"/>
              <w:rPr>
                <w:rFonts w:eastAsia="Calibri" w:cs="Arial"/>
              </w:rPr>
            </w:pPr>
            <w:r w:rsidRPr="00233902">
              <w:rPr>
                <w:rFonts w:eastAsia="Calibri" w:cs="Arial"/>
              </w:rPr>
              <w:t>Responsible Owner</w:t>
            </w:r>
          </w:p>
        </w:tc>
        <w:tc>
          <w:tcPr>
            <w:tcW w:w="5984" w:type="dxa"/>
          </w:tcPr>
          <w:p w:rsidR="00141FF9" w:rsidRPr="00233902" w:rsidRDefault="00141FF9" w:rsidP="009D45F7">
            <w:pPr>
              <w:jc w:val="both"/>
              <w:rPr>
                <w:rFonts w:eastAsia="Calibri" w:cs="Arial"/>
              </w:rPr>
            </w:pPr>
            <w:r w:rsidRPr="00233902">
              <w:rPr>
                <w:rFonts w:eastAsia="Calibri" w:cs="Arial"/>
              </w:rPr>
              <w:t>Vanessa Wilson</w:t>
            </w:r>
          </w:p>
        </w:tc>
      </w:tr>
      <w:tr w:rsidR="00141FF9" w:rsidRPr="00233902" w:rsidTr="00815E0D">
        <w:tc>
          <w:tcPr>
            <w:tcW w:w="3032" w:type="dxa"/>
          </w:tcPr>
          <w:p w:rsidR="00141FF9" w:rsidRPr="00233902" w:rsidRDefault="00141FF9" w:rsidP="009D45F7">
            <w:pPr>
              <w:jc w:val="both"/>
              <w:rPr>
                <w:rFonts w:eastAsia="Calibri" w:cs="Arial"/>
              </w:rPr>
            </w:pPr>
            <w:r w:rsidRPr="00233902">
              <w:rPr>
                <w:rFonts w:eastAsia="Calibri" w:cs="Arial"/>
              </w:rPr>
              <w:t>Publish on Public Website</w:t>
            </w:r>
          </w:p>
        </w:tc>
        <w:tc>
          <w:tcPr>
            <w:tcW w:w="5984" w:type="dxa"/>
          </w:tcPr>
          <w:p w:rsidR="00141FF9" w:rsidRPr="00233902" w:rsidRDefault="00141FF9" w:rsidP="009D45F7">
            <w:pPr>
              <w:jc w:val="both"/>
              <w:rPr>
                <w:rFonts w:eastAsia="Calibri" w:cs="Arial"/>
              </w:rPr>
            </w:pPr>
          </w:p>
        </w:tc>
      </w:tr>
    </w:tbl>
    <w:p w:rsidR="006B2FA9" w:rsidRPr="00233902" w:rsidRDefault="006B2FA9">
      <w:pPr>
        <w:rPr>
          <w:rFonts w:ascii="Arial" w:hAnsi="Arial" w:cs="Arial"/>
          <w:sz w:val="24"/>
          <w:szCs w:val="24"/>
        </w:rPr>
      </w:pPr>
    </w:p>
    <w:p w:rsidR="006B2FA9" w:rsidRPr="00233902" w:rsidRDefault="006B2FA9" w:rsidP="006B2FA9">
      <w:pPr>
        <w:spacing w:after="200"/>
        <w:jc w:val="both"/>
        <w:rPr>
          <w:rFonts w:ascii="Arial" w:eastAsia="Calibri" w:hAnsi="Arial" w:cs="Arial"/>
          <w:color w:val="1F3864" w:themeColor="accent1" w:themeShade="80"/>
          <w:sz w:val="24"/>
          <w:szCs w:val="24"/>
        </w:rPr>
      </w:pPr>
      <w:r w:rsidRPr="00233902">
        <w:rPr>
          <w:rFonts w:ascii="Arial" w:eastAsia="Calibri" w:hAnsi="Arial" w:cs="Arial"/>
          <w:b/>
          <w:color w:val="1F3864" w:themeColor="accent1" w:themeShade="80"/>
          <w:sz w:val="24"/>
          <w:szCs w:val="24"/>
        </w:rPr>
        <w:t>Amendment History</w:t>
      </w:r>
      <w:r w:rsidRPr="00233902">
        <w:rPr>
          <w:rFonts w:ascii="Arial" w:eastAsia="Calibri" w:hAnsi="Arial" w:cs="Arial"/>
          <w:color w:val="1F3864" w:themeColor="accent1" w:themeShade="80"/>
          <w:sz w:val="24"/>
          <w:szCs w:val="24"/>
        </w:rPr>
        <w:t>:</w:t>
      </w:r>
    </w:p>
    <w:tbl>
      <w:tblPr>
        <w:tblStyle w:val="TableGrid"/>
        <w:tblW w:w="0" w:type="auto"/>
        <w:tblLook w:val="04A0" w:firstRow="1" w:lastRow="0" w:firstColumn="1" w:lastColumn="0" w:noHBand="0" w:noVBand="1"/>
      </w:tblPr>
      <w:tblGrid>
        <w:gridCol w:w="1854"/>
        <w:gridCol w:w="1726"/>
        <w:gridCol w:w="5436"/>
      </w:tblGrid>
      <w:tr w:rsidR="006B2FA9" w:rsidRPr="00233902" w:rsidTr="0075365E">
        <w:tc>
          <w:tcPr>
            <w:tcW w:w="1854" w:type="dxa"/>
            <w:shd w:val="clear" w:color="auto" w:fill="1F3864" w:themeFill="accent1" w:themeFillShade="80"/>
          </w:tcPr>
          <w:p w:rsidR="006B2FA9" w:rsidRPr="00233902" w:rsidRDefault="006B2FA9" w:rsidP="009D45F7">
            <w:pPr>
              <w:jc w:val="both"/>
              <w:rPr>
                <w:rFonts w:cs="Arial"/>
                <w:b/>
                <w:bCs/>
                <w:color w:val="FFFFFF"/>
                <w:lang w:val="en-US" w:eastAsia="ja-JP"/>
              </w:rPr>
            </w:pPr>
            <w:r w:rsidRPr="00233902">
              <w:rPr>
                <w:rFonts w:cs="Arial"/>
                <w:b/>
                <w:color w:val="FFFFFF"/>
                <w:lang w:val="en-US" w:eastAsia="ja-JP"/>
              </w:rPr>
              <w:t>Version</w:t>
            </w:r>
          </w:p>
        </w:tc>
        <w:tc>
          <w:tcPr>
            <w:tcW w:w="1726" w:type="dxa"/>
            <w:shd w:val="clear" w:color="auto" w:fill="1F3864" w:themeFill="accent1" w:themeFillShade="80"/>
          </w:tcPr>
          <w:p w:rsidR="006B2FA9" w:rsidRPr="00233902" w:rsidRDefault="006B2FA9" w:rsidP="009D45F7">
            <w:pPr>
              <w:jc w:val="both"/>
              <w:rPr>
                <w:rFonts w:cs="Arial"/>
                <w:b/>
                <w:bCs/>
                <w:color w:val="FFFFFF"/>
                <w:lang w:val="en-US" w:eastAsia="ja-JP"/>
              </w:rPr>
            </w:pPr>
            <w:r w:rsidRPr="00233902">
              <w:rPr>
                <w:rFonts w:cs="Arial"/>
                <w:b/>
                <w:color w:val="FFFFFF"/>
                <w:lang w:val="en-US" w:eastAsia="ja-JP"/>
              </w:rPr>
              <w:t>Date</w:t>
            </w:r>
          </w:p>
        </w:tc>
        <w:tc>
          <w:tcPr>
            <w:tcW w:w="5436" w:type="dxa"/>
            <w:shd w:val="clear" w:color="auto" w:fill="1F3864" w:themeFill="accent1" w:themeFillShade="80"/>
          </w:tcPr>
          <w:p w:rsidR="006B2FA9" w:rsidRPr="00233902" w:rsidRDefault="006B2FA9" w:rsidP="009D45F7">
            <w:pPr>
              <w:jc w:val="both"/>
              <w:rPr>
                <w:rFonts w:cs="Arial"/>
                <w:b/>
                <w:bCs/>
                <w:color w:val="FFFFFF"/>
                <w:lang w:val="en-US" w:eastAsia="ja-JP"/>
              </w:rPr>
            </w:pPr>
            <w:r w:rsidRPr="00233902">
              <w:rPr>
                <w:rFonts w:cs="Arial"/>
                <w:b/>
                <w:color w:val="FFFFFF"/>
                <w:lang w:val="en-US" w:eastAsia="ja-JP"/>
              </w:rPr>
              <w:t>Comment on Changes</w:t>
            </w:r>
          </w:p>
        </w:tc>
      </w:tr>
      <w:tr w:rsidR="006B2FA9" w:rsidRPr="00233902" w:rsidTr="0075365E">
        <w:tc>
          <w:tcPr>
            <w:tcW w:w="1854" w:type="dxa"/>
          </w:tcPr>
          <w:p w:rsidR="006B2FA9" w:rsidRPr="00233902" w:rsidRDefault="006B2FA9" w:rsidP="009D45F7">
            <w:pPr>
              <w:jc w:val="both"/>
              <w:rPr>
                <w:rFonts w:eastAsia="Calibri" w:cs="Arial"/>
              </w:rPr>
            </w:pPr>
          </w:p>
        </w:tc>
        <w:tc>
          <w:tcPr>
            <w:tcW w:w="1726" w:type="dxa"/>
          </w:tcPr>
          <w:p w:rsidR="006B2FA9" w:rsidRPr="00233902" w:rsidRDefault="006B2FA9" w:rsidP="009D45F7">
            <w:pPr>
              <w:jc w:val="both"/>
              <w:rPr>
                <w:rFonts w:eastAsia="Calibri" w:cs="Arial"/>
              </w:rPr>
            </w:pPr>
          </w:p>
        </w:tc>
        <w:tc>
          <w:tcPr>
            <w:tcW w:w="5436" w:type="dxa"/>
          </w:tcPr>
          <w:p w:rsidR="006B2FA9" w:rsidRPr="00233902" w:rsidRDefault="006B2FA9" w:rsidP="009D45F7">
            <w:pPr>
              <w:jc w:val="both"/>
              <w:rPr>
                <w:rFonts w:eastAsia="Calibri" w:cs="Arial"/>
              </w:rPr>
            </w:pPr>
          </w:p>
        </w:tc>
      </w:tr>
      <w:tr w:rsidR="006B2FA9" w:rsidRPr="00233902" w:rsidTr="0075365E">
        <w:tc>
          <w:tcPr>
            <w:tcW w:w="1854" w:type="dxa"/>
          </w:tcPr>
          <w:p w:rsidR="006B2FA9" w:rsidRPr="00233902" w:rsidRDefault="006B2FA9" w:rsidP="009D45F7">
            <w:pPr>
              <w:jc w:val="both"/>
              <w:rPr>
                <w:rFonts w:eastAsia="Calibri" w:cs="Arial"/>
              </w:rPr>
            </w:pPr>
          </w:p>
        </w:tc>
        <w:tc>
          <w:tcPr>
            <w:tcW w:w="1726" w:type="dxa"/>
          </w:tcPr>
          <w:p w:rsidR="006B2FA9" w:rsidRPr="00233902" w:rsidRDefault="006B2FA9" w:rsidP="009D45F7">
            <w:pPr>
              <w:jc w:val="both"/>
              <w:rPr>
                <w:rFonts w:eastAsia="Calibri" w:cs="Arial"/>
              </w:rPr>
            </w:pPr>
          </w:p>
        </w:tc>
        <w:tc>
          <w:tcPr>
            <w:tcW w:w="5436" w:type="dxa"/>
          </w:tcPr>
          <w:p w:rsidR="006B2FA9" w:rsidRPr="00233902" w:rsidRDefault="006B2FA9" w:rsidP="009D45F7">
            <w:pPr>
              <w:jc w:val="both"/>
              <w:rPr>
                <w:rFonts w:eastAsia="Calibri" w:cs="Arial"/>
              </w:rPr>
            </w:pPr>
          </w:p>
        </w:tc>
      </w:tr>
      <w:tr w:rsidR="002F48C8" w:rsidRPr="00233902" w:rsidTr="0075365E">
        <w:tc>
          <w:tcPr>
            <w:tcW w:w="1854" w:type="dxa"/>
          </w:tcPr>
          <w:p w:rsidR="002F48C8" w:rsidRPr="00233902" w:rsidRDefault="002F48C8" w:rsidP="009D45F7">
            <w:pPr>
              <w:jc w:val="both"/>
              <w:rPr>
                <w:rFonts w:eastAsia="Calibri" w:cs="Arial"/>
              </w:rPr>
            </w:pPr>
          </w:p>
        </w:tc>
        <w:tc>
          <w:tcPr>
            <w:tcW w:w="1726" w:type="dxa"/>
          </w:tcPr>
          <w:p w:rsidR="002F48C8" w:rsidRPr="00233902" w:rsidRDefault="002F48C8" w:rsidP="009D45F7">
            <w:pPr>
              <w:jc w:val="both"/>
              <w:rPr>
                <w:rFonts w:eastAsia="Calibri" w:cs="Arial"/>
              </w:rPr>
            </w:pPr>
          </w:p>
        </w:tc>
        <w:tc>
          <w:tcPr>
            <w:tcW w:w="5436" w:type="dxa"/>
          </w:tcPr>
          <w:p w:rsidR="002F48C8" w:rsidRPr="00233902" w:rsidRDefault="002F48C8" w:rsidP="009D45F7">
            <w:pPr>
              <w:jc w:val="both"/>
              <w:rPr>
                <w:rFonts w:eastAsia="Calibri" w:cs="Arial"/>
              </w:rPr>
            </w:pPr>
          </w:p>
        </w:tc>
      </w:tr>
      <w:tr w:rsidR="002F48C8" w:rsidRPr="00233902" w:rsidTr="0075365E">
        <w:tc>
          <w:tcPr>
            <w:tcW w:w="1854" w:type="dxa"/>
          </w:tcPr>
          <w:p w:rsidR="002F48C8" w:rsidRPr="00233902" w:rsidRDefault="002F48C8" w:rsidP="009D45F7">
            <w:pPr>
              <w:jc w:val="both"/>
              <w:rPr>
                <w:rFonts w:eastAsia="Calibri" w:cs="Arial"/>
              </w:rPr>
            </w:pPr>
          </w:p>
        </w:tc>
        <w:tc>
          <w:tcPr>
            <w:tcW w:w="1726" w:type="dxa"/>
          </w:tcPr>
          <w:p w:rsidR="002F48C8" w:rsidRPr="00233902" w:rsidRDefault="002F48C8" w:rsidP="009D45F7">
            <w:pPr>
              <w:jc w:val="both"/>
              <w:rPr>
                <w:rFonts w:eastAsia="Calibri" w:cs="Arial"/>
              </w:rPr>
            </w:pPr>
          </w:p>
        </w:tc>
        <w:tc>
          <w:tcPr>
            <w:tcW w:w="5436" w:type="dxa"/>
          </w:tcPr>
          <w:p w:rsidR="002F48C8" w:rsidRPr="00233902" w:rsidRDefault="002F48C8" w:rsidP="009D45F7">
            <w:pPr>
              <w:jc w:val="both"/>
              <w:rPr>
                <w:rFonts w:eastAsia="Calibri" w:cs="Arial"/>
              </w:rPr>
            </w:pPr>
          </w:p>
        </w:tc>
      </w:tr>
    </w:tbl>
    <w:p w:rsidR="0075365E" w:rsidRPr="00233902" w:rsidRDefault="0075365E" w:rsidP="0075365E">
      <w:pPr>
        <w:spacing w:after="200"/>
        <w:jc w:val="both"/>
        <w:rPr>
          <w:rFonts w:ascii="Arial" w:hAnsi="Arial" w:cs="Arial"/>
          <w:b/>
          <w:color w:val="1F3864" w:themeColor="accent1" w:themeShade="80"/>
          <w:sz w:val="24"/>
          <w:szCs w:val="24"/>
          <w:lang w:eastAsia="en-GB"/>
        </w:rPr>
      </w:pPr>
    </w:p>
    <w:p w:rsidR="0075365E" w:rsidRPr="00233902" w:rsidRDefault="0017341E" w:rsidP="0075365E">
      <w:pPr>
        <w:spacing w:after="200"/>
        <w:jc w:val="both"/>
        <w:rPr>
          <w:rFonts w:ascii="Arial" w:hAnsi="Arial" w:cs="Arial"/>
          <w:sz w:val="24"/>
          <w:szCs w:val="24"/>
          <w:lang w:eastAsia="en-GB"/>
        </w:rPr>
      </w:pPr>
      <w:r w:rsidRPr="00233902">
        <w:rPr>
          <w:rFonts w:ascii="Arial" w:hAnsi="Arial" w:cs="Arial"/>
          <w:b/>
          <w:color w:val="1F3864" w:themeColor="accent1" w:themeShade="80"/>
          <w:sz w:val="24"/>
          <w:szCs w:val="24"/>
          <w:lang w:eastAsia="en-GB"/>
        </w:rPr>
        <w:t>Document Status</w:t>
      </w:r>
      <w:r w:rsidRPr="00233902">
        <w:rPr>
          <w:rFonts w:ascii="Arial" w:hAnsi="Arial" w:cs="Arial"/>
          <w:sz w:val="24"/>
          <w:szCs w:val="24"/>
          <w:lang w:eastAsia="en-GB"/>
        </w:rPr>
        <w:t>: This is a controlled document. Whilst this document may be printed the electronic version posted on the intranet is the controlled copy. Any printed copies of the document are not controlled.</w:t>
      </w:r>
    </w:p>
    <w:p w:rsidR="00F6797E" w:rsidRPr="00233902" w:rsidRDefault="00F6797E" w:rsidP="0075365E">
      <w:pPr>
        <w:spacing w:after="200"/>
        <w:jc w:val="both"/>
        <w:rPr>
          <w:rFonts w:ascii="Arial" w:hAnsi="Arial" w:cs="Arial"/>
          <w:sz w:val="24"/>
          <w:szCs w:val="24"/>
          <w:lang w:eastAsia="en-GB"/>
        </w:rPr>
      </w:pPr>
    </w:p>
    <w:p w:rsidR="005E13D8" w:rsidRPr="00233902" w:rsidRDefault="00B76353" w:rsidP="00605B5A">
      <w:pPr>
        <w:pStyle w:val="ListParagraph"/>
        <w:numPr>
          <w:ilvl w:val="0"/>
          <w:numId w:val="1"/>
        </w:numPr>
        <w:rPr>
          <w:rFonts w:ascii="Arial" w:hAnsi="Arial" w:cs="Arial"/>
          <w:b/>
          <w:bCs/>
          <w:color w:val="1F3864" w:themeColor="accent1" w:themeShade="80"/>
          <w:sz w:val="24"/>
          <w:szCs w:val="24"/>
        </w:rPr>
      </w:pPr>
      <w:r w:rsidRPr="00233902">
        <w:rPr>
          <w:rFonts w:ascii="Arial" w:hAnsi="Arial" w:cs="Arial"/>
          <w:b/>
          <w:bCs/>
          <w:color w:val="1F3864" w:themeColor="accent1" w:themeShade="80"/>
          <w:sz w:val="24"/>
          <w:szCs w:val="24"/>
        </w:rPr>
        <w:t>Background</w:t>
      </w:r>
    </w:p>
    <w:p w:rsidR="00233902" w:rsidRDefault="00B76353" w:rsidP="002F48C8">
      <w:pPr>
        <w:rPr>
          <w:rFonts w:ascii="Arial" w:hAnsi="Arial" w:cs="Arial"/>
          <w:color w:val="0B0C0C"/>
          <w:sz w:val="24"/>
          <w:szCs w:val="24"/>
          <w:shd w:val="clear" w:color="auto" w:fill="FFFFFF"/>
        </w:rPr>
      </w:pPr>
      <w:r w:rsidRPr="00233902">
        <w:rPr>
          <w:rFonts w:ascii="Arial" w:hAnsi="Arial" w:cs="Arial"/>
          <w:color w:val="0B0C0C"/>
          <w:sz w:val="24"/>
          <w:szCs w:val="24"/>
          <w:shd w:val="clear" w:color="auto" w:fill="FFFFFF"/>
        </w:rPr>
        <w:t>The </w:t>
      </w:r>
      <w:hyperlink r:id="rId8" w:history="1">
        <w:r w:rsidRPr="00233902">
          <w:rPr>
            <w:rStyle w:val="Hyperlink"/>
            <w:rFonts w:ascii="Arial" w:hAnsi="Arial" w:cs="Arial"/>
            <w:color w:val="auto"/>
            <w:sz w:val="24"/>
            <w:szCs w:val="24"/>
            <w:u w:val="none"/>
            <w:shd w:val="clear" w:color="auto" w:fill="FFFFFF"/>
          </w:rPr>
          <w:t>Women’s Health Strategy for England</w:t>
        </w:r>
      </w:hyperlink>
      <w:r w:rsidRPr="00233902">
        <w:rPr>
          <w:rFonts w:ascii="Arial" w:hAnsi="Arial" w:cs="Arial"/>
          <w:color w:val="0B0C0C"/>
          <w:sz w:val="24"/>
          <w:szCs w:val="24"/>
          <w:shd w:val="clear" w:color="auto" w:fill="FFFFFF"/>
        </w:rPr>
        <w:t> </w:t>
      </w:r>
      <w:r w:rsidR="00C43571" w:rsidRPr="00233902">
        <w:rPr>
          <w:rFonts w:ascii="Arial" w:hAnsi="Arial" w:cs="Arial"/>
          <w:color w:val="0B0C0C"/>
          <w:sz w:val="24"/>
          <w:szCs w:val="24"/>
          <w:shd w:val="clear" w:color="auto" w:fill="FFFFFF"/>
        </w:rPr>
        <w:t xml:space="preserve">(2022) </w:t>
      </w:r>
      <w:r w:rsidR="00605B5A" w:rsidRPr="00233902">
        <w:rPr>
          <w:rFonts w:ascii="Arial" w:hAnsi="Arial" w:cs="Arial"/>
          <w:color w:val="0B0C0C"/>
          <w:sz w:val="24"/>
          <w:szCs w:val="24"/>
          <w:shd w:val="clear" w:color="auto" w:fill="FFFFFF"/>
        </w:rPr>
        <w:t>is a</w:t>
      </w:r>
      <w:r w:rsidRPr="00233902">
        <w:rPr>
          <w:rFonts w:ascii="Arial" w:hAnsi="Arial" w:cs="Arial"/>
          <w:color w:val="0B0C0C"/>
          <w:sz w:val="24"/>
          <w:szCs w:val="24"/>
          <w:shd w:val="clear" w:color="auto" w:fill="FFFFFF"/>
        </w:rPr>
        <w:t xml:space="preserve"> 10-year </w:t>
      </w:r>
      <w:r w:rsidR="00605B5A" w:rsidRPr="00233902">
        <w:rPr>
          <w:rFonts w:ascii="Arial" w:hAnsi="Arial" w:cs="Arial"/>
          <w:color w:val="0B0C0C"/>
          <w:sz w:val="24"/>
          <w:szCs w:val="24"/>
          <w:shd w:val="clear" w:color="auto" w:fill="FFFFFF"/>
        </w:rPr>
        <w:t>plan</w:t>
      </w:r>
      <w:r w:rsidRPr="00233902">
        <w:rPr>
          <w:rFonts w:ascii="Arial" w:hAnsi="Arial" w:cs="Arial"/>
          <w:color w:val="0B0C0C"/>
          <w:sz w:val="24"/>
          <w:szCs w:val="24"/>
          <w:shd w:val="clear" w:color="auto" w:fill="FFFFFF"/>
        </w:rPr>
        <w:t xml:space="preserve"> for boosting the health and wellbeing of women and girls, and for improving how the health and care system listens to women. The strategy encourages the expansion of women’s health hubs across the country to improve access to services and health outcomes</w:t>
      </w:r>
      <w:r w:rsidR="00233902">
        <w:rPr>
          <w:rFonts w:ascii="Arial" w:hAnsi="Arial" w:cs="Arial"/>
          <w:color w:val="0B0C0C"/>
          <w:sz w:val="24"/>
          <w:szCs w:val="24"/>
          <w:shd w:val="clear" w:color="auto" w:fill="FFFFFF"/>
        </w:rPr>
        <w:t>, these could be</w:t>
      </w:r>
      <w:r w:rsidRPr="00233902">
        <w:rPr>
          <w:rFonts w:ascii="Arial" w:hAnsi="Arial" w:cs="Arial"/>
          <w:color w:val="0B0C0C"/>
          <w:sz w:val="24"/>
          <w:szCs w:val="24"/>
          <w:shd w:val="clear" w:color="auto" w:fill="FFFFFF"/>
        </w:rPr>
        <w:t>.</w:t>
      </w:r>
    </w:p>
    <w:p w:rsidR="00233902" w:rsidRPr="00233902" w:rsidRDefault="00B76353" w:rsidP="00233902">
      <w:pPr>
        <w:rPr>
          <w:rFonts w:ascii="Arial" w:hAnsi="Arial" w:cs="Arial"/>
          <w:color w:val="0B0C0C"/>
          <w:sz w:val="24"/>
          <w:szCs w:val="24"/>
          <w:shd w:val="clear" w:color="auto" w:fill="FFFFFF"/>
        </w:rPr>
      </w:pPr>
      <w:r w:rsidRPr="00233902">
        <w:rPr>
          <w:rFonts w:ascii="Arial" w:hAnsi="Arial" w:cs="Arial"/>
          <w:color w:val="0B0C0C"/>
          <w:sz w:val="24"/>
          <w:szCs w:val="24"/>
          <w:shd w:val="clear" w:color="auto" w:fill="FFFFFF"/>
        </w:rPr>
        <w:t> </w:t>
      </w:r>
      <w:r w:rsidR="00233902" w:rsidRPr="00233902">
        <w:rPr>
          <w:rFonts w:ascii="Arial" w:hAnsi="Arial" w:cs="Arial"/>
          <w:color w:val="0B0C0C"/>
          <w:sz w:val="24"/>
          <w:szCs w:val="24"/>
          <w:shd w:val="clear" w:color="auto" w:fill="FFFFFF"/>
        </w:rPr>
        <w:t>Women’s health hubs bring together healthcare professionals and existing services to provide integrated women’s health services in the community, centred on meeting women’s needs across the life course. Hub models aim to improve access to and experiences of care, improve health outcomes for women, and reduce health inequalities</w:t>
      </w:r>
      <w:r w:rsidR="00233902">
        <w:rPr>
          <w:rFonts w:ascii="Arial" w:hAnsi="Arial" w:cs="Arial"/>
          <w:color w:val="0B0C0C"/>
          <w:sz w:val="24"/>
          <w:szCs w:val="24"/>
          <w:shd w:val="clear" w:color="auto" w:fill="FFFFFF"/>
        </w:rPr>
        <w:t>.</w:t>
      </w:r>
    </w:p>
    <w:p w:rsidR="00497378" w:rsidRPr="00233902" w:rsidRDefault="00233902" w:rsidP="00233902">
      <w:pPr>
        <w:rPr>
          <w:rFonts w:ascii="Arial" w:hAnsi="Arial" w:cs="Arial"/>
          <w:color w:val="0B0C0C"/>
          <w:sz w:val="24"/>
          <w:szCs w:val="24"/>
          <w:shd w:val="clear" w:color="auto" w:fill="FFFFFF"/>
        </w:rPr>
      </w:pPr>
      <w:r w:rsidRPr="00233902">
        <w:rPr>
          <w:rFonts w:ascii="Arial" w:hAnsi="Arial" w:cs="Arial"/>
          <w:color w:val="0B0C0C"/>
          <w:sz w:val="24"/>
          <w:szCs w:val="24"/>
          <w:shd w:val="clear" w:color="auto" w:fill="FFFFFF"/>
        </w:rPr>
        <w:t>Women’s health hubs (‘hubs’) are understood as a model of care working across a population footprint and are not necessarily a single physical place.</w:t>
      </w:r>
      <w:r>
        <w:rPr>
          <w:rStyle w:val="FootnoteReference"/>
          <w:rFonts w:ascii="Arial" w:hAnsi="Arial" w:cs="Arial"/>
          <w:color w:val="0B0C0C"/>
          <w:sz w:val="24"/>
          <w:szCs w:val="24"/>
          <w:shd w:val="clear" w:color="auto" w:fill="FFFFFF"/>
        </w:rPr>
        <w:footnoteReference w:id="1"/>
      </w:r>
    </w:p>
    <w:p w:rsidR="00497378" w:rsidRPr="00233902" w:rsidRDefault="00497378" w:rsidP="002F48C8">
      <w:pPr>
        <w:rPr>
          <w:rFonts w:ascii="Arial" w:hAnsi="Arial" w:cs="Arial"/>
          <w:color w:val="0B0C0C"/>
          <w:sz w:val="24"/>
          <w:szCs w:val="24"/>
          <w:shd w:val="clear" w:color="auto" w:fill="FFFFFF"/>
        </w:rPr>
      </w:pPr>
      <w:r w:rsidRPr="00233902">
        <w:rPr>
          <w:rFonts w:ascii="Arial" w:hAnsi="Arial" w:cs="Arial"/>
          <w:color w:val="0B0C0C"/>
          <w:sz w:val="24"/>
          <w:szCs w:val="24"/>
          <w:shd w:val="clear" w:color="auto" w:fill="FFFFFF"/>
        </w:rPr>
        <w:t>The Women’s Hubs</w:t>
      </w:r>
      <w:r w:rsidR="00590D14" w:rsidRPr="00233902">
        <w:rPr>
          <w:rFonts w:ascii="Arial" w:hAnsi="Arial" w:cs="Arial"/>
          <w:color w:val="0B0C0C"/>
          <w:sz w:val="24"/>
          <w:szCs w:val="24"/>
          <w:shd w:val="clear" w:color="auto" w:fill="FFFFFF"/>
        </w:rPr>
        <w:t xml:space="preserve"> have a duty to provide core services</w:t>
      </w:r>
      <w:r w:rsidR="003F4299" w:rsidRPr="00233902">
        <w:rPr>
          <w:rFonts w:ascii="Arial" w:hAnsi="Arial" w:cs="Arial"/>
          <w:color w:val="0B0C0C"/>
          <w:sz w:val="24"/>
          <w:szCs w:val="24"/>
          <w:shd w:val="clear" w:color="auto" w:fill="FFFFFF"/>
        </w:rPr>
        <w:t xml:space="preserve"> by December 2024. These</w:t>
      </w:r>
      <w:r w:rsidR="00590D14" w:rsidRPr="00233902">
        <w:rPr>
          <w:rFonts w:ascii="Arial" w:hAnsi="Arial" w:cs="Arial"/>
          <w:color w:val="0B0C0C"/>
          <w:sz w:val="24"/>
          <w:szCs w:val="24"/>
          <w:shd w:val="clear" w:color="auto" w:fill="FFFFFF"/>
        </w:rPr>
        <w:t xml:space="preserve"> includ</w:t>
      </w:r>
      <w:r w:rsidR="003F4299" w:rsidRPr="00233902">
        <w:rPr>
          <w:rFonts w:ascii="Arial" w:hAnsi="Arial" w:cs="Arial"/>
          <w:color w:val="0B0C0C"/>
          <w:sz w:val="24"/>
          <w:szCs w:val="24"/>
          <w:shd w:val="clear" w:color="auto" w:fill="FFFFFF"/>
        </w:rPr>
        <w:t>e</w:t>
      </w:r>
      <w:r w:rsidR="00590D14" w:rsidRPr="00233902">
        <w:rPr>
          <w:rFonts w:ascii="Arial" w:hAnsi="Arial" w:cs="Arial"/>
          <w:color w:val="0B0C0C"/>
          <w:sz w:val="24"/>
          <w:szCs w:val="24"/>
          <w:shd w:val="clear" w:color="auto" w:fill="FFFFFF"/>
        </w:rPr>
        <w:t>, but not limited to</w:t>
      </w:r>
      <w:r w:rsidR="00581E26" w:rsidRPr="00233902">
        <w:rPr>
          <w:rFonts w:ascii="Arial" w:hAnsi="Arial" w:cs="Arial"/>
          <w:color w:val="0B0C0C"/>
          <w:sz w:val="24"/>
          <w:szCs w:val="24"/>
          <w:shd w:val="clear" w:color="auto" w:fill="FFFFFF"/>
        </w:rPr>
        <w:t>:</w:t>
      </w:r>
      <w:r w:rsidR="00590D14" w:rsidRPr="00233902">
        <w:rPr>
          <w:rFonts w:ascii="Arial" w:hAnsi="Arial" w:cs="Arial"/>
          <w:color w:val="0B0C0C"/>
          <w:sz w:val="24"/>
          <w:szCs w:val="24"/>
          <w:shd w:val="clear" w:color="auto" w:fill="FFFFFF"/>
        </w:rPr>
        <w:t xml:space="preserve"> </w:t>
      </w:r>
      <w:r w:rsidR="004531C0" w:rsidRPr="00233902">
        <w:rPr>
          <w:rFonts w:ascii="Arial" w:hAnsi="Arial" w:cs="Arial"/>
          <w:color w:val="0B0C0C"/>
          <w:sz w:val="24"/>
          <w:szCs w:val="24"/>
          <w:shd w:val="clear" w:color="auto" w:fill="FFFFFF"/>
        </w:rPr>
        <w:t xml:space="preserve">Menstrual problems assessment and treatment, </w:t>
      </w:r>
      <w:r w:rsidR="00646ED3" w:rsidRPr="00233902">
        <w:rPr>
          <w:rFonts w:ascii="Arial" w:hAnsi="Arial" w:cs="Arial"/>
          <w:color w:val="0B0C0C"/>
          <w:sz w:val="24"/>
          <w:szCs w:val="24"/>
          <w:shd w:val="clear" w:color="auto" w:fill="FFFFFF"/>
        </w:rPr>
        <w:t xml:space="preserve">menopause assessment and treatment, </w:t>
      </w:r>
      <w:r w:rsidR="00233902" w:rsidRPr="00233902">
        <w:rPr>
          <w:rFonts w:ascii="Arial" w:hAnsi="Arial" w:cs="Arial"/>
          <w:color w:val="0B0C0C"/>
          <w:sz w:val="24"/>
          <w:szCs w:val="24"/>
          <w:shd w:val="clear" w:color="auto" w:fill="FFFFFF"/>
        </w:rPr>
        <w:t>long-acting</w:t>
      </w:r>
      <w:r w:rsidR="00704D4D" w:rsidRPr="00233902">
        <w:rPr>
          <w:rFonts w:ascii="Arial" w:hAnsi="Arial" w:cs="Arial"/>
          <w:color w:val="0B0C0C"/>
          <w:sz w:val="24"/>
          <w:szCs w:val="24"/>
          <w:shd w:val="clear" w:color="auto" w:fill="FFFFFF"/>
        </w:rPr>
        <w:t xml:space="preserve"> reversible contraception (LARC) </w:t>
      </w:r>
      <w:r w:rsidR="002237F2" w:rsidRPr="00233902">
        <w:rPr>
          <w:rFonts w:ascii="Arial" w:hAnsi="Arial" w:cs="Arial"/>
          <w:color w:val="0B0C0C"/>
          <w:sz w:val="24"/>
          <w:szCs w:val="24"/>
          <w:shd w:val="clear" w:color="auto" w:fill="FFFFFF"/>
        </w:rPr>
        <w:t xml:space="preserve">for both contraceptive and gynaecological reasons, preconception care, breast pain assessment and care, </w:t>
      </w:r>
      <w:r w:rsidR="00581E26" w:rsidRPr="00233902">
        <w:rPr>
          <w:rFonts w:ascii="Arial" w:hAnsi="Arial" w:cs="Arial"/>
          <w:color w:val="0B0C0C"/>
          <w:sz w:val="24"/>
          <w:szCs w:val="24"/>
          <w:shd w:val="clear" w:color="auto" w:fill="FFFFFF"/>
        </w:rPr>
        <w:t>pessary fitting and removal, cervical screening</w:t>
      </w:r>
      <w:r w:rsidR="005F2CDE" w:rsidRPr="00233902">
        <w:rPr>
          <w:rFonts w:ascii="Arial" w:hAnsi="Arial" w:cs="Arial"/>
          <w:color w:val="0B0C0C"/>
          <w:sz w:val="24"/>
          <w:szCs w:val="24"/>
          <w:shd w:val="clear" w:color="auto" w:fill="FFFFFF"/>
        </w:rPr>
        <w:t xml:space="preserve"> and screening and treatment for sexually transmitted infections including HIV</w:t>
      </w:r>
      <w:r w:rsidR="003F4299" w:rsidRPr="00233902">
        <w:rPr>
          <w:rFonts w:ascii="Arial" w:hAnsi="Arial" w:cs="Arial"/>
          <w:color w:val="0B0C0C"/>
          <w:sz w:val="24"/>
          <w:szCs w:val="24"/>
          <w:shd w:val="clear" w:color="auto" w:fill="FFFFFF"/>
        </w:rPr>
        <w:t xml:space="preserve"> testing.</w:t>
      </w:r>
      <w:r w:rsidR="009F3724" w:rsidRPr="00233902">
        <w:rPr>
          <w:rFonts w:ascii="Arial" w:hAnsi="Arial" w:cs="Arial"/>
          <w:color w:val="0B0C0C"/>
          <w:sz w:val="24"/>
          <w:szCs w:val="24"/>
          <w:shd w:val="clear" w:color="auto" w:fill="FFFFFF"/>
        </w:rPr>
        <w:t xml:space="preserve"> </w:t>
      </w:r>
      <w:r w:rsidR="00071BD8" w:rsidRPr="00233902">
        <w:rPr>
          <w:rFonts w:ascii="Arial" w:hAnsi="Arial" w:cs="Arial"/>
          <w:color w:val="0B0C0C"/>
          <w:sz w:val="24"/>
          <w:szCs w:val="24"/>
          <w:shd w:val="clear" w:color="auto" w:fill="FFFFFF"/>
        </w:rPr>
        <w:t>The strategy</w:t>
      </w:r>
      <w:r w:rsidR="00AB3A8E" w:rsidRPr="00233902">
        <w:rPr>
          <w:rFonts w:ascii="Arial" w:hAnsi="Arial" w:cs="Arial"/>
          <w:color w:val="0B0C0C"/>
          <w:sz w:val="24"/>
          <w:szCs w:val="24"/>
          <w:shd w:val="clear" w:color="auto" w:fill="FFFFFF"/>
        </w:rPr>
        <w:t xml:space="preserve"> aims to support women during </w:t>
      </w:r>
      <w:r w:rsidR="004C4066" w:rsidRPr="00233902">
        <w:rPr>
          <w:rFonts w:ascii="Arial" w:hAnsi="Arial" w:cs="Arial"/>
          <w:color w:val="0B0C0C"/>
          <w:sz w:val="24"/>
          <w:szCs w:val="24"/>
          <w:shd w:val="clear" w:color="auto" w:fill="FFFFFF"/>
        </w:rPr>
        <w:t>t</w:t>
      </w:r>
      <w:r w:rsidR="006764AF" w:rsidRPr="00233902">
        <w:rPr>
          <w:rFonts w:ascii="Arial" w:hAnsi="Arial" w:cs="Arial"/>
          <w:color w:val="0B0C0C"/>
          <w:sz w:val="24"/>
          <w:szCs w:val="24"/>
          <w:shd w:val="clear" w:color="auto" w:fill="FFFFFF"/>
        </w:rPr>
        <w:t>hroughout the life course:</w:t>
      </w:r>
    </w:p>
    <w:p w:rsidR="00376AB8" w:rsidRPr="00233902" w:rsidRDefault="00376AB8" w:rsidP="002F48C8">
      <w:pPr>
        <w:rPr>
          <w:rFonts w:ascii="Arial" w:hAnsi="Arial" w:cs="Arial"/>
          <w:color w:val="0B0C0C"/>
          <w:sz w:val="24"/>
          <w:szCs w:val="24"/>
          <w:shd w:val="clear" w:color="auto" w:fill="FFFFFF"/>
        </w:rPr>
      </w:pPr>
    </w:p>
    <w:p w:rsidR="00376AB8" w:rsidRPr="00233902" w:rsidRDefault="00376AB8" w:rsidP="002F48C8">
      <w:pPr>
        <w:rPr>
          <w:rFonts w:ascii="Arial" w:hAnsi="Arial" w:cs="Arial"/>
          <w:color w:val="0B0C0C"/>
          <w:sz w:val="24"/>
          <w:szCs w:val="24"/>
          <w:shd w:val="clear" w:color="auto" w:fill="FFFFFF"/>
        </w:rPr>
      </w:pPr>
    </w:p>
    <w:p w:rsidR="00E21C49" w:rsidRPr="00233902" w:rsidRDefault="00E21C49" w:rsidP="002F48C8">
      <w:pPr>
        <w:rPr>
          <w:rFonts w:ascii="Arial" w:hAnsi="Arial" w:cs="Arial"/>
          <w:color w:val="0B0C0C"/>
          <w:sz w:val="24"/>
          <w:szCs w:val="24"/>
          <w:shd w:val="clear" w:color="auto" w:fill="FFFFFF"/>
        </w:rPr>
      </w:pPr>
    </w:p>
    <w:p w:rsidR="00344432" w:rsidRPr="00233902" w:rsidRDefault="009F3724" w:rsidP="009F3724">
      <w:pPr>
        <w:jc w:val="center"/>
        <w:rPr>
          <w:rFonts w:ascii="Arial" w:hAnsi="Arial" w:cs="Arial"/>
          <w:color w:val="0B0C0C"/>
          <w:sz w:val="24"/>
          <w:szCs w:val="24"/>
          <w:shd w:val="clear" w:color="auto" w:fill="FFFFFF"/>
        </w:rPr>
      </w:pPr>
      <w:r w:rsidRPr="00233902">
        <w:rPr>
          <w:rFonts w:ascii="Arial" w:hAnsi="Arial" w:cs="Arial"/>
          <w:noProof/>
          <w:color w:val="0B0C0C"/>
          <w:sz w:val="24"/>
          <w:szCs w:val="24"/>
          <w:shd w:val="clear" w:color="auto" w:fill="FFFFFF"/>
        </w:rPr>
        <w:drawing>
          <wp:inline distT="0" distB="0" distL="0" distR="0" wp14:anchorId="5E2D5DA9" wp14:editId="0D6F133C">
            <wp:extent cx="3473629" cy="46547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73629" cy="4654789"/>
                    </a:xfrm>
                    <a:prstGeom prst="rect">
                      <a:avLst/>
                    </a:prstGeom>
                  </pic:spPr>
                </pic:pic>
              </a:graphicData>
            </a:graphic>
          </wp:inline>
        </w:drawing>
      </w:r>
    </w:p>
    <w:p w:rsidR="00233902" w:rsidRDefault="00233902" w:rsidP="00233902">
      <w:pPr>
        <w:pStyle w:val="ListParagraph"/>
        <w:rPr>
          <w:rFonts w:ascii="Arial" w:hAnsi="Arial" w:cs="Arial"/>
          <w:b/>
          <w:bCs/>
          <w:color w:val="1F3864" w:themeColor="accent1" w:themeShade="80"/>
          <w:sz w:val="24"/>
          <w:szCs w:val="24"/>
        </w:rPr>
      </w:pPr>
    </w:p>
    <w:p w:rsidR="00E03571" w:rsidRPr="00233902" w:rsidRDefault="004A783B" w:rsidP="00E03571">
      <w:pPr>
        <w:pStyle w:val="ListParagraph"/>
        <w:numPr>
          <w:ilvl w:val="0"/>
          <w:numId w:val="1"/>
        </w:numPr>
        <w:rPr>
          <w:rFonts w:ascii="Arial" w:hAnsi="Arial" w:cs="Arial"/>
          <w:b/>
          <w:bCs/>
          <w:color w:val="1F3864" w:themeColor="accent1" w:themeShade="80"/>
          <w:sz w:val="24"/>
          <w:szCs w:val="24"/>
        </w:rPr>
      </w:pPr>
      <w:r w:rsidRPr="00233902">
        <w:rPr>
          <w:rFonts w:ascii="Arial" w:hAnsi="Arial" w:cs="Arial"/>
          <w:b/>
          <w:bCs/>
          <w:color w:val="1F3864" w:themeColor="accent1" w:themeShade="80"/>
          <w:sz w:val="24"/>
          <w:szCs w:val="24"/>
        </w:rPr>
        <w:t xml:space="preserve">Purpose </w:t>
      </w:r>
    </w:p>
    <w:p w:rsidR="007F27BF" w:rsidRPr="00233902" w:rsidRDefault="007F27BF" w:rsidP="00E03571">
      <w:pPr>
        <w:rPr>
          <w:rFonts w:ascii="Arial" w:hAnsi="Arial" w:cs="Arial"/>
          <w:b/>
          <w:bCs/>
          <w:color w:val="1F3864" w:themeColor="accent1" w:themeShade="80"/>
          <w:sz w:val="24"/>
          <w:szCs w:val="24"/>
        </w:rPr>
      </w:pPr>
      <w:r w:rsidRPr="00233902">
        <w:rPr>
          <w:rFonts w:ascii="Arial" w:hAnsi="Arial" w:cs="Arial"/>
          <w:sz w:val="24"/>
          <w:szCs w:val="24"/>
        </w:rPr>
        <w:t xml:space="preserve">The aim of this group is to assure and support </w:t>
      </w:r>
      <w:r w:rsidRPr="00233902">
        <w:rPr>
          <w:rFonts w:ascii="Arial" w:hAnsi="Arial" w:cs="Arial"/>
          <w:color w:val="0B0C0C"/>
          <w:sz w:val="24"/>
          <w:szCs w:val="24"/>
          <w:shd w:val="clear" w:color="auto" w:fill="FFFFFF"/>
        </w:rPr>
        <w:t>improvement of access to and experiences of care, improvement of health outcomes for women, and reduction of health inequalities</w:t>
      </w:r>
      <w:r w:rsidR="004037C7" w:rsidRPr="00233902">
        <w:rPr>
          <w:rFonts w:ascii="Arial" w:hAnsi="Arial" w:cs="Arial"/>
          <w:color w:val="0B0C0C"/>
          <w:sz w:val="24"/>
          <w:szCs w:val="24"/>
          <w:shd w:val="clear" w:color="auto" w:fill="FFFFFF"/>
        </w:rPr>
        <w:t>,</w:t>
      </w:r>
      <w:r w:rsidRPr="00233902">
        <w:rPr>
          <w:rFonts w:ascii="Arial" w:hAnsi="Arial" w:cs="Arial"/>
          <w:color w:val="0B0C0C"/>
          <w:sz w:val="24"/>
          <w:szCs w:val="24"/>
          <w:shd w:val="clear" w:color="auto" w:fill="FFFFFF"/>
        </w:rPr>
        <w:t xml:space="preserve"> by </w:t>
      </w:r>
      <w:r w:rsidRPr="00233902">
        <w:rPr>
          <w:rFonts w:ascii="Arial" w:hAnsi="Arial" w:cs="Arial"/>
          <w:sz w:val="24"/>
          <w:szCs w:val="24"/>
        </w:rPr>
        <w:t xml:space="preserve">overseeing the development of Women’s Health </w:t>
      </w:r>
      <w:r w:rsidRPr="00233902">
        <w:rPr>
          <w:rFonts w:ascii="Arial" w:hAnsi="Arial" w:cs="Arial"/>
          <w:color w:val="0B0C0C"/>
          <w:sz w:val="24"/>
          <w:szCs w:val="24"/>
          <w:shd w:val="clear" w:color="auto" w:fill="FFFFFF"/>
        </w:rPr>
        <w:t xml:space="preserve">Hubs as set out in the women’s health hubs: core specification (2024). The intention to bring together healthcare professionals and existing services to provide integrated women’s health services in the community, centred on meeting women’s needs across the life course. </w:t>
      </w:r>
    </w:p>
    <w:p w:rsidR="00A0461B" w:rsidRPr="00233902" w:rsidRDefault="00821384" w:rsidP="00106B71">
      <w:pPr>
        <w:jc w:val="both"/>
        <w:rPr>
          <w:rFonts w:ascii="Arial" w:hAnsi="Arial" w:cs="Arial"/>
          <w:sz w:val="24"/>
          <w:szCs w:val="24"/>
        </w:rPr>
      </w:pPr>
      <w:r w:rsidRPr="00233902">
        <w:rPr>
          <w:rFonts w:ascii="Arial" w:hAnsi="Arial" w:cs="Arial"/>
          <w:sz w:val="24"/>
          <w:szCs w:val="24"/>
        </w:rPr>
        <w:t>The purpose of this document is to outline the framework and governance that will be in place to ensure delivery of the</w:t>
      </w:r>
      <w:r w:rsidR="00ED1ACC" w:rsidRPr="00233902">
        <w:rPr>
          <w:rFonts w:ascii="Arial" w:hAnsi="Arial" w:cs="Arial"/>
          <w:sz w:val="24"/>
          <w:szCs w:val="24"/>
        </w:rPr>
        <w:t xml:space="preserve"> Women’s Health</w:t>
      </w:r>
      <w:r w:rsidRPr="00233902">
        <w:rPr>
          <w:rFonts w:ascii="Arial" w:hAnsi="Arial" w:cs="Arial"/>
          <w:sz w:val="24"/>
          <w:szCs w:val="24"/>
        </w:rPr>
        <w:t xml:space="preserve"> </w:t>
      </w:r>
      <w:r w:rsidR="003C371B" w:rsidRPr="00233902">
        <w:rPr>
          <w:rFonts w:ascii="Arial" w:hAnsi="Arial" w:cs="Arial"/>
          <w:sz w:val="24"/>
          <w:szCs w:val="24"/>
        </w:rPr>
        <w:t xml:space="preserve">Strategy </w:t>
      </w:r>
      <w:r w:rsidRPr="00233902">
        <w:rPr>
          <w:rFonts w:ascii="Arial" w:hAnsi="Arial" w:cs="Arial"/>
          <w:sz w:val="24"/>
          <w:szCs w:val="24"/>
        </w:rPr>
        <w:t>for L</w:t>
      </w:r>
      <w:r w:rsidR="00ED1ACC" w:rsidRPr="00233902">
        <w:rPr>
          <w:rFonts w:ascii="Arial" w:hAnsi="Arial" w:cs="Arial"/>
          <w:sz w:val="24"/>
          <w:szCs w:val="24"/>
        </w:rPr>
        <w:t>&amp;</w:t>
      </w:r>
      <w:r w:rsidRPr="00233902">
        <w:rPr>
          <w:rFonts w:ascii="Arial" w:hAnsi="Arial" w:cs="Arial"/>
          <w:sz w:val="24"/>
          <w:szCs w:val="24"/>
        </w:rPr>
        <w:t xml:space="preserve">SC with the priority areas </w:t>
      </w:r>
      <w:r w:rsidR="001F7EB8" w:rsidRPr="00233902">
        <w:rPr>
          <w:rFonts w:ascii="Arial" w:hAnsi="Arial" w:cs="Arial"/>
          <w:sz w:val="24"/>
          <w:szCs w:val="24"/>
        </w:rPr>
        <w:t xml:space="preserve">set </w:t>
      </w:r>
      <w:r w:rsidR="00E76135" w:rsidRPr="00233902">
        <w:rPr>
          <w:rFonts w:ascii="Arial" w:hAnsi="Arial" w:cs="Arial"/>
          <w:sz w:val="24"/>
          <w:szCs w:val="24"/>
        </w:rPr>
        <w:t>out are</w:t>
      </w:r>
      <w:r w:rsidRPr="00233902">
        <w:rPr>
          <w:rFonts w:ascii="Arial" w:hAnsi="Arial" w:cs="Arial"/>
          <w:sz w:val="24"/>
          <w:szCs w:val="24"/>
        </w:rPr>
        <w:t xml:space="preserve"> as </w:t>
      </w:r>
      <w:proofErr w:type="gramStart"/>
      <w:r w:rsidRPr="00233902">
        <w:rPr>
          <w:rFonts w:ascii="Arial" w:hAnsi="Arial" w:cs="Arial"/>
          <w:sz w:val="24"/>
          <w:szCs w:val="24"/>
        </w:rPr>
        <w:t>follows;</w:t>
      </w:r>
      <w:proofErr w:type="gramEnd"/>
    </w:p>
    <w:p w:rsidR="00BB7016" w:rsidRPr="00233902" w:rsidRDefault="00406CFF" w:rsidP="00EC4BFE">
      <w:pPr>
        <w:pStyle w:val="ListParagraph"/>
        <w:numPr>
          <w:ilvl w:val="0"/>
          <w:numId w:val="6"/>
        </w:numPr>
        <w:spacing w:line="240" w:lineRule="auto"/>
        <w:rPr>
          <w:rFonts w:ascii="Arial" w:hAnsi="Arial" w:cs="Arial"/>
          <w:sz w:val="24"/>
          <w:szCs w:val="24"/>
        </w:rPr>
      </w:pPr>
      <w:r w:rsidRPr="00233902">
        <w:rPr>
          <w:rFonts w:ascii="Arial" w:hAnsi="Arial" w:cs="Arial"/>
          <w:sz w:val="24"/>
          <w:szCs w:val="24"/>
        </w:rPr>
        <w:t>Joined-up and co-ordinated care</w:t>
      </w:r>
      <w:r w:rsidR="00C46C96" w:rsidRPr="00233902">
        <w:rPr>
          <w:rFonts w:ascii="Arial" w:hAnsi="Arial" w:cs="Arial"/>
          <w:sz w:val="24"/>
          <w:szCs w:val="24"/>
        </w:rPr>
        <w:t xml:space="preserve"> between health care systems</w:t>
      </w:r>
      <w:r w:rsidR="00674240" w:rsidRPr="00233902">
        <w:rPr>
          <w:rFonts w:ascii="Arial" w:hAnsi="Arial" w:cs="Arial"/>
          <w:sz w:val="24"/>
          <w:szCs w:val="24"/>
        </w:rPr>
        <w:t>, local authorities, voluntary and community sector</w:t>
      </w:r>
      <w:r w:rsidR="00BB7016" w:rsidRPr="00233902">
        <w:rPr>
          <w:rFonts w:ascii="Arial" w:hAnsi="Arial" w:cs="Arial"/>
          <w:sz w:val="24"/>
          <w:szCs w:val="24"/>
        </w:rPr>
        <w:t>, and patients.</w:t>
      </w:r>
    </w:p>
    <w:p w:rsidR="007A61A0" w:rsidRPr="00233902" w:rsidRDefault="007A61A0" w:rsidP="007A61A0">
      <w:pPr>
        <w:pStyle w:val="ListParagraph"/>
        <w:spacing w:line="240" w:lineRule="auto"/>
        <w:ind w:left="360"/>
        <w:rPr>
          <w:rFonts w:ascii="Arial" w:hAnsi="Arial" w:cs="Arial"/>
          <w:sz w:val="24"/>
          <w:szCs w:val="24"/>
        </w:rPr>
      </w:pPr>
    </w:p>
    <w:p w:rsidR="00F42301" w:rsidRPr="00233902" w:rsidRDefault="00707678" w:rsidP="00F42301">
      <w:pPr>
        <w:pStyle w:val="ListParagraph"/>
        <w:numPr>
          <w:ilvl w:val="0"/>
          <w:numId w:val="6"/>
        </w:numPr>
        <w:spacing w:line="240" w:lineRule="auto"/>
        <w:rPr>
          <w:rFonts w:ascii="Arial" w:hAnsi="Arial" w:cs="Arial"/>
          <w:sz w:val="24"/>
          <w:szCs w:val="24"/>
        </w:rPr>
      </w:pPr>
      <w:r w:rsidRPr="00233902">
        <w:rPr>
          <w:rFonts w:ascii="Arial" w:hAnsi="Arial" w:cs="Arial"/>
          <w:sz w:val="24"/>
          <w:szCs w:val="24"/>
        </w:rPr>
        <w:t xml:space="preserve">Improve </w:t>
      </w:r>
      <w:r w:rsidR="009B6CDD" w:rsidRPr="00233902">
        <w:rPr>
          <w:rFonts w:ascii="Arial" w:hAnsi="Arial" w:cs="Arial"/>
          <w:sz w:val="24"/>
          <w:szCs w:val="24"/>
        </w:rPr>
        <w:t>outcomes in population health and healthcare</w:t>
      </w:r>
      <w:r w:rsidR="00F42301" w:rsidRPr="00233902">
        <w:rPr>
          <w:rFonts w:ascii="Arial" w:hAnsi="Arial" w:cs="Arial"/>
          <w:sz w:val="24"/>
          <w:szCs w:val="24"/>
        </w:rPr>
        <w:t>.</w:t>
      </w:r>
    </w:p>
    <w:p w:rsidR="00F42301" w:rsidRPr="00233902" w:rsidRDefault="00F42301" w:rsidP="00F42301">
      <w:pPr>
        <w:pStyle w:val="ListParagraph"/>
        <w:rPr>
          <w:rFonts w:ascii="Arial" w:hAnsi="Arial" w:cs="Arial"/>
          <w:sz w:val="24"/>
          <w:szCs w:val="24"/>
        </w:rPr>
      </w:pPr>
    </w:p>
    <w:p w:rsidR="00F42301" w:rsidRPr="00233902" w:rsidRDefault="000273B8" w:rsidP="00F42301">
      <w:pPr>
        <w:pStyle w:val="ListParagraph"/>
        <w:numPr>
          <w:ilvl w:val="0"/>
          <w:numId w:val="6"/>
        </w:numPr>
        <w:spacing w:line="240" w:lineRule="auto"/>
        <w:rPr>
          <w:rFonts w:ascii="Arial" w:hAnsi="Arial" w:cs="Arial"/>
          <w:sz w:val="24"/>
          <w:szCs w:val="24"/>
        </w:rPr>
      </w:pPr>
      <w:r w:rsidRPr="00233902">
        <w:rPr>
          <w:rFonts w:ascii="Arial" w:hAnsi="Arial" w:cs="Arial"/>
          <w:sz w:val="24"/>
          <w:szCs w:val="24"/>
        </w:rPr>
        <w:t>Improve patient experience, with care being delivered in one appointment where possibl</w:t>
      </w:r>
      <w:r w:rsidR="00BB7016" w:rsidRPr="00233902">
        <w:rPr>
          <w:rFonts w:ascii="Arial" w:hAnsi="Arial" w:cs="Arial"/>
          <w:sz w:val="24"/>
          <w:szCs w:val="24"/>
        </w:rPr>
        <w:t>e</w:t>
      </w:r>
      <w:r w:rsidR="00F42301" w:rsidRPr="00233902">
        <w:rPr>
          <w:rFonts w:ascii="Arial" w:hAnsi="Arial" w:cs="Arial"/>
          <w:sz w:val="24"/>
          <w:szCs w:val="24"/>
        </w:rPr>
        <w:t>.</w:t>
      </w:r>
    </w:p>
    <w:p w:rsidR="00F42301" w:rsidRPr="00233902" w:rsidRDefault="00F42301" w:rsidP="00F42301">
      <w:pPr>
        <w:pStyle w:val="ListParagraph"/>
        <w:rPr>
          <w:rFonts w:ascii="Arial" w:hAnsi="Arial" w:cs="Arial"/>
          <w:sz w:val="24"/>
          <w:szCs w:val="24"/>
        </w:rPr>
      </w:pPr>
    </w:p>
    <w:p w:rsidR="00F42301" w:rsidRPr="00233902" w:rsidRDefault="005E72A7" w:rsidP="00F42301">
      <w:pPr>
        <w:pStyle w:val="ListParagraph"/>
        <w:numPr>
          <w:ilvl w:val="0"/>
          <w:numId w:val="6"/>
        </w:numPr>
        <w:spacing w:line="240" w:lineRule="auto"/>
        <w:rPr>
          <w:rFonts w:ascii="Arial" w:hAnsi="Arial" w:cs="Arial"/>
          <w:sz w:val="24"/>
          <w:szCs w:val="24"/>
        </w:rPr>
      </w:pPr>
      <w:r w:rsidRPr="00233902">
        <w:rPr>
          <w:rFonts w:ascii="Arial" w:hAnsi="Arial" w:cs="Arial"/>
          <w:sz w:val="24"/>
          <w:szCs w:val="24"/>
        </w:rPr>
        <w:t>Improve access to health information</w:t>
      </w:r>
      <w:r w:rsidR="00F42301" w:rsidRPr="00233902">
        <w:rPr>
          <w:rFonts w:ascii="Arial" w:hAnsi="Arial" w:cs="Arial"/>
          <w:sz w:val="24"/>
          <w:szCs w:val="24"/>
        </w:rPr>
        <w:t>.</w:t>
      </w:r>
    </w:p>
    <w:p w:rsidR="00F42301" w:rsidRPr="00233902" w:rsidRDefault="00F42301" w:rsidP="00F42301">
      <w:pPr>
        <w:pStyle w:val="ListParagraph"/>
        <w:rPr>
          <w:rFonts w:ascii="Arial" w:hAnsi="Arial" w:cs="Arial"/>
          <w:sz w:val="24"/>
          <w:szCs w:val="24"/>
        </w:rPr>
      </w:pPr>
    </w:p>
    <w:p w:rsidR="00F42301" w:rsidRPr="00233902" w:rsidRDefault="009B6CDD" w:rsidP="00F42301">
      <w:pPr>
        <w:pStyle w:val="ListParagraph"/>
        <w:numPr>
          <w:ilvl w:val="0"/>
          <w:numId w:val="6"/>
        </w:numPr>
        <w:spacing w:line="240" w:lineRule="auto"/>
        <w:rPr>
          <w:rFonts w:ascii="Arial" w:hAnsi="Arial" w:cs="Arial"/>
          <w:sz w:val="24"/>
          <w:szCs w:val="24"/>
        </w:rPr>
      </w:pPr>
      <w:r w:rsidRPr="00233902">
        <w:rPr>
          <w:rFonts w:ascii="Arial" w:hAnsi="Arial" w:cs="Arial"/>
          <w:sz w:val="24"/>
          <w:szCs w:val="24"/>
        </w:rPr>
        <w:t>Tackle inequalities in outcomes, experie</w:t>
      </w:r>
      <w:r w:rsidR="001E1C59" w:rsidRPr="00233902">
        <w:rPr>
          <w:rFonts w:ascii="Arial" w:hAnsi="Arial" w:cs="Arial"/>
          <w:sz w:val="24"/>
          <w:szCs w:val="24"/>
        </w:rPr>
        <w:t>nce and access</w:t>
      </w:r>
      <w:r w:rsidR="00F42301" w:rsidRPr="00233902">
        <w:rPr>
          <w:rFonts w:ascii="Arial" w:hAnsi="Arial" w:cs="Arial"/>
          <w:sz w:val="24"/>
          <w:szCs w:val="24"/>
        </w:rPr>
        <w:t>.</w:t>
      </w:r>
    </w:p>
    <w:p w:rsidR="00F42301" w:rsidRPr="00233902" w:rsidRDefault="00F42301" w:rsidP="00F42301">
      <w:pPr>
        <w:pStyle w:val="ListParagraph"/>
        <w:rPr>
          <w:rFonts w:ascii="Arial" w:hAnsi="Arial" w:cs="Arial"/>
          <w:sz w:val="24"/>
          <w:szCs w:val="24"/>
        </w:rPr>
      </w:pPr>
    </w:p>
    <w:p w:rsidR="00F42301" w:rsidRPr="00233902" w:rsidRDefault="001E1C59" w:rsidP="00F42301">
      <w:pPr>
        <w:pStyle w:val="ListParagraph"/>
        <w:numPr>
          <w:ilvl w:val="0"/>
          <w:numId w:val="6"/>
        </w:numPr>
        <w:spacing w:line="240" w:lineRule="auto"/>
        <w:rPr>
          <w:rFonts w:ascii="Arial" w:hAnsi="Arial" w:cs="Arial"/>
          <w:sz w:val="24"/>
          <w:szCs w:val="24"/>
        </w:rPr>
      </w:pPr>
      <w:r w:rsidRPr="00233902">
        <w:rPr>
          <w:rFonts w:ascii="Arial" w:hAnsi="Arial" w:cs="Arial"/>
          <w:sz w:val="24"/>
          <w:szCs w:val="24"/>
        </w:rPr>
        <w:t>Enhance productivity and value for money</w:t>
      </w:r>
      <w:r w:rsidR="00F42301" w:rsidRPr="00233902">
        <w:rPr>
          <w:rFonts w:ascii="Arial" w:hAnsi="Arial" w:cs="Arial"/>
          <w:sz w:val="24"/>
          <w:szCs w:val="24"/>
        </w:rPr>
        <w:t>.</w:t>
      </w:r>
    </w:p>
    <w:p w:rsidR="00F42301" w:rsidRPr="00233902" w:rsidRDefault="00F42301" w:rsidP="00F42301">
      <w:pPr>
        <w:pStyle w:val="ListParagraph"/>
        <w:rPr>
          <w:rFonts w:ascii="Arial" w:hAnsi="Arial" w:cs="Arial"/>
          <w:sz w:val="24"/>
          <w:szCs w:val="24"/>
        </w:rPr>
      </w:pPr>
    </w:p>
    <w:p w:rsidR="001E1C59" w:rsidRPr="00233902" w:rsidRDefault="001E1C59" w:rsidP="00F42301">
      <w:pPr>
        <w:pStyle w:val="ListParagraph"/>
        <w:numPr>
          <w:ilvl w:val="0"/>
          <w:numId w:val="6"/>
        </w:numPr>
        <w:spacing w:line="240" w:lineRule="auto"/>
        <w:rPr>
          <w:rFonts w:ascii="Arial" w:hAnsi="Arial" w:cs="Arial"/>
          <w:sz w:val="24"/>
          <w:szCs w:val="24"/>
        </w:rPr>
      </w:pPr>
      <w:r w:rsidRPr="00233902">
        <w:rPr>
          <w:rFonts w:ascii="Arial" w:hAnsi="Arial" w:cs="Arial"/>
          <w:sz w:val="24"/>
          <w:szCs w:val="24"/>
        </w:rPr>
        <w:t xml:space="preserve">Help the NHS support broader social and </w:t>
      </w:r>
      <w:proofErr w:type="spellStart"/>
      <w:r w:rsidRPr="00233902">
        <w:rPr>
          <w:rFonts w:ascii="Arial" w:hAnsi="Arial" w:cs="Arial"/>
          <w:sz w:val="24"/>
          <w:szCs w:val="24"/>
        </w:rPr>
        <w:t>economical</w:t>
      </w:r>
      <w:proofErr w:type="spellEnd"/>
      <w:r w:rsidRPr="00233902">
        <w:rPr>
          <w:rFonts w:ascii="Arial" w:hAnsi="Arial" w:cs="Arial"/>
          <w:sz w:val="24"/>
          <w:szCs w:val="24"/>
        </w:rPr>
        <w:t xml:space="preserve"> developmen</w:t>
      </w:r>
      <w:r w:rsidR="00B32D99" w:rsidRPr="00233902">
        <w:rPr>
          <w:rFonts w:ascii="Arial" w:hAnsi="Arial" w:cs="Arial"/>
          <w:sz w:val="24"/>
          <w:szCs w:val="24"/>
        </w:rPr>
        <w:t>t</w:t>
      </w:r>
      <w:r w:rsidR="00F42301" w:rsidRPr="00233902">
        <w:rPr>
          <w:rFonts w:ascii="Arial" w:hAnsi="Arial" w:cs="Arial"/>
          <w:sz w:val="24"/>
          <w:szCs w:val="24"/>
        </w:rPr>
        <w:t>.</w:t>
      </w:r>
    </w:p>
    <w:p w:rsidR="00BB7016" w:rsidRPr="00233902" w:rsidRDefault="00BB7016" w:rsidP="00BB7016">
      <w:pPr>
        <w:pStyle w:val="ListParagraph"/>
        <w:spacing w:line="240" w:lineRule="auto"/>
        <w:jc w:val="both"/>
        <w:rPr>
          <w:rFonts w:ascii="Arial" w:hAnsi="Arial" w:cs="Arial"/>
          <w:sz w:val="24"/>
          <w:szCs w:val="24"/>
        </w:rPr>
      </w:pPr>
    </w:p>
    <w:p w:rsidR="00821384" w:rsidRPr="00233902" w:rsidRDefault="00821384" w:rsidP="00821384">
      <w:pPr>
        <w:pStyle w:val="ListParagraph"/>
        <w:rPr>
          <w:rFonts w:ascii="Arial" w:hAnsi="Arial" w:cs="Arial"/>
          <w:b/>
          <w:bCs/>
          <w:color w:val="1F3864" w:themeColor="accent1" w:themeShade="80"/>
          <w:sz w:val="24"/>
          <w:szCs w:val="24"/>
        </w:rPr>
      </w:pPr>
    </w:p>
    <w:p w:rsidR="00F546CC" w:rsidRPr="00233902" w:rsidRDefault="00F546CC" w:rsidP="00F546CC">
      <w:pPr>
        <w:pStyle w:val="ListParagraph"/>
        <w:rPr>
          <w:rFonts w:ascii="Arial" w:hAnsi="Arial" w:cs="Arial"/>
          <w:b/>
          <w:bCs/>
          <w:color w:val="1F3864" w:themeColor="accent1" w:themeShade="80"/>
          <w:sz w:val="24"/>
          <w:szCs w:val="24"/>
        </w:rPr>
      </w:pPr>
    </w:p>
    <w:p w:rsidR="0017341E" w:rsidRPr="00233902" w:rsidRDefault="00123B55" w:rsidP="00123B55">
      <w:pPr>
        <w:pStyle w:val="ListParagraph"/>
        <w:numPr>
          <w:ilvl w:val="0"/>
          <w:numId w:val="1"/>
        </w:numPr>
        <w:rPr>
          <w:rFonts w:ascii="Arial" w:hAnsi="Arial" w:cs="Arial"/>
          <w:b/>
          <w:bCs/>
          <w:color w:val="1F3864" w:themeColor="accent1" w:themeShade="80"/>
          <w:sz w:val="24"/>
          <w:szCs w:val="24"/>
          <w:shd w:val="clear" w:color="auto" w:fill="FFFFFF"/>
        </w:rPr>
      </w:pPr>
      <w:r w:rsidRPr="00233902">
        <w:rPr>
          <w:rFonts w:ascii="Arial" w:hAnsi="Arial" w:cs="Arial"/>
          <w:b/>
          <w:bCs/>
          <w:color w:val="1F3864" w:themeColor="accent1" w:themeShade="80"/>
          <w:sz w:val="24"/>
          <w:szCs w:val="24"/>
          <w:shd w:val="clear" w:color="auto" w:fill="FFFFFF"/>
        </w:rPr>
        <w:t xml:space="preserve">Responsibilities of the Women’s </w:t>
      </w:r>
      <w:r w:rsidR="00E91BB8" w:rsidRPr="00233902">
        <w:rPr>
          <w:rFonts w:ascii="Arial" w:hAnsi="Arial" w:cs="Arial"/>
          <w:b/>
          <w:bCs/>
          <w:color w:val="1F3864" w:themeColor="accent1" w:themeShade="80"/>
          <w:sz w:val="24"/>
          <w:szCs w:val="24"/>
          <w:shd w:val="clear" w:color="auto" w:fill="FFFFFF"/>
        </w:rPr>
        <w:t>H</w:t>
      </w:r>
      <w:r w:rsidRPr="00233902">
        <w:rPr>
          <w:rFonts w:ascii="Arial" w:hAnsi="Arial" w:cs="Arial"/>
          <w:b/>
          <w:bCs/>
          <w:color w:val="1F3864" w:themeColor="accent1" w:themeShade="80"/>
          <w:sz w:val="24"/>
          <w:szCs w:val="24"/>
          <w:shd w:val="clear" w:color="auto" w:fill="FFFFFF"/>
        </w:rPr>
        <w:t xml:space="preserve">ealth </w:t>
      </w:r>
      <w:r w:rsidR="00FD512E" w:rsidRPr="00233902">
        <w:rPr>
          <w:rFonts w:ascii="Arial" w:hAnsi="Arial" w:cs="Arial"/>
          <w:b/>
          <w:bCs/>
          <w:color w:val="1F3864" w:themeColor="accent1" w:themeShade="80"/>
          <w:sz w:val="24"/>
          <w:szCs w:val="24"/>
          <w:shd w:val="clear" w:color="auto" w:fill="FFFFFF"/>
        </w:rPr>
        <w:t>board</w:t>
      </w:r>
    </w:p>
    <w:p w:rsidR="00E91BB8" w:rsidRPr="00233902" w:rsidRDefault="00E91BB8" w:rsidP="00E91BB8">
      <w:pPr>
        <w:jc w:val="both"/>
        <w:rPr>
          <w:rFonts w:ascii="Arial" w:hAnsi="Arial" w:cs="Arial"/>
          <w:sz w:val="24"/>
          <w:szCs w:val="24"/>
        </w:rPr>
      </w:pPr>
      <w:r w:rsidRPr="00233902">
        <w:rPr>
          <w:rFonts w:ascii="Arial" w:hAnsi="Arial" w:cs="Arial"/>
          <w:sz w:val="24"/>
          <w:szCs w:val="24"/>
        </w:rPr>
        <w:t>The board will have specific responsibility to:</w:t>
      </w:r>
    </w:p>
    <w:p w:rsidR="005F4A6E" w:rsidRPr="00233902" w:rsidRDefault="005F4A6E" w:rsidP="00E91BB8">
      <w:pPr>
        <w:numPr>
          <w:ilvl w:val="0"/>
          <w:numId w:val="2"/>
        </w:numPr>
        <w:spacing w:after="0" w:line="240" w:lineRule="auto"/>
        <w:ind w:left="993" w:hanging="357"/>
        <w:jc w:val="both"/>
        <w:rPr>
          <w:rFonts w:ascii="Arial" w:hAnsi="Arial" w:cs="Arial"/>
          <w:sz w:val="24"/>
          <w:szCs w:val="24"/>
        </w:rPr>
      </w:pPr>
      <w:r w:rsidRPr="00233902">
        <w:rPr>
          <w:rFonts w:ascii="Arial" w:hAnsi="Arial" w:cs="Arial"/>
          <w:sz w:val="24"/>
          <w:szCs w:val="24"/>
        </w:rPr>
        <w:t>Develop and maintain shared clinical governance.</w:t>
      </w:r>
    </w:p>
    <w:p w:rsidR="005F4A6E" w:rsidRPr="00233902" w:rsidRDefault="005F4A6E" w:rsidP="005F4A6E">
      <w:pPr>
        <w:spacing w:after="0" w:line="240" w:lineRule="auto"/>
        <w:ind w:left="993"/>
        <w:jc w:val="both"/>
        <w:rPr>
          <w:rFonts w:ascii="Arial" w:hAnsi="Arial" w:cs="Arial"/>
          <w:sz w:val="24"/>
          <w:szCs w:val="24"/>
        </w:rPr>
      </w:pPr>
    </w:p>
    <w:p w:rsidR="00E91BB8" w:rsidRPr="00233902" w:rsidRDefault="00E91BB8" w:rsidP="00E91BB8">
      <w:pPr>
        <w:numPr>
          <w:ilvl w:val="0"/>
          <w:numId w:val="2"/>
        </w:numPr>
        <w:spacing w:after="0" w:line="240" w:lineRule="auto"/>
        <w:ind w:left="993" w:hanging="357"/>
        <w:jc w:val="both"/>
        <w:rPr>
          <w:rFonts w:ascii="Arial" w:hAnsi="Arial" w:cs="Arial"/>
          <w:sz w:val="24"/>
          <w:szCs w:val="24"/>
        </w:rPr>
      </w:pPr>
      <w:r w:rsidRPr="00233902">
        <w:rPr>
          <w:rFonts w:ascii="Arial" w:hAnsi="Arial" w:cs="Arial"/>
          <w:sz w:val="24"/>
          <w:szCs w:val="24"/>
        </w:rPr>
        <w:t>Oversee and monitor progress in delivering the National</w:t>
      </w:r>
      <w:r w:rsidR="00914783" w:rsidRPr="00233902">
        <w:rPr>
          <w:rFonts w:ascii="Arial" w:hAnsi="Arial" w:cs="Arial"/>
          <w:sz w:val="24"/>
          <w:szCs w:val="24"/>
        </w:rPr>
        <w:t xml:space="preserve"> Women’s health</w:t>
      </w:r>
      <w:r w:rsidRPr="00233902">
        <w:rPr>
          <w:rFonts w:ascii="Arial" w:hAnsi="Arial" w:cs="Arial"/>
          <w:sz w:val="24"/>
          <w:szCs w:val="24"/>
        </w:rPr>
        <w:t xml:space="preserve"> </w:t>
      </w:r>
      <w:r w:rsidR="004732B6" w:rsidRPr="00233902">
        <w:rPr>
          <w:rFonts w:ascii="Arial" w:hAnsi="Arial" w:cs="Arial"/>
          <w:sz w:val="24"/>
          <w:szCs w:val="24"/>
        </w:rPr>
        <w:t>programme.</w:t>
      </w:r>
    </w:p>
    <w:p w:rsidR="00E91BB8" w:rsidRPr="00233902" w:rsidRDefault="00E91BB8" w:rsidP="00E91BB8">
      <w:pPr>
        <w:spacing w:after="0" w:line="240" w:lineRule="auto"/>
        <w:ind w:left="993"/>
        <w:jc w:val="both"/>
        <w:rPr>
          <w:rFonts w:ascii="Arial" w:hAnsi="Arial" w:cs="Arial"/>
          <w:sz w:val="24"/>
          <w:szCs w:val="24"/>
        </w:rPr>
      </w:pPr>
    </w:p>
    <w:p w:rsidR="00E91BB8" w:rsidRPr="00233902" w:rsidRDefault="00E91BB8" w:rsidP="00E91BB8">
      <w:pPr>
        <w:numPr>
          <w:ilvl w:val="0"/>
          <w:numId w:val="2"/>
        </w:numPr>
        <w:spacing w:after="0" w:line="240" w:lineRule="auto"/>
        <w:ind w:left="993" w:hanging="357"/>
        <w:jc w:val="both"/>
        <w:rPr>
          <w:rFonts w:ascii="Arial" w:hAnsi="Arial" w:cs="Arial"/>
          <w:sz w:val="24"/>
          <w:szCs w:val="24"/>
        </w:rPr>
      </w:pPr>
      <w:r w:rsidRPr="00233902">
        <w:rPr>
          <w:rFonts w:ascii="Arial" w:hAnsi="Arial" w:cs="Arial"/>
          <w:sz w:val="24"/>
          <w:szCs w:val="24"/>
        </w:rPr>
        <w:t xml:space="preserve">Provide a mechanism for joint action and joint decision-making for those issues which are best tackled on a wider </w:t>
      </w:r>
      <w:r w:rsidR="004732B6" w:rsidRPr="00233902">
        <w:rPr>
          <w:rFonts w:ascii="Arial" w:hAnsi="Arial" w:cs="Arial"/>
          <w:sz w:val="24"/>
          <w:szCs w:val="24"/>
        </w:rPr>
        <w:t>scale.</w:t>
      </w:r>
      <w:r w:rsidRPr="00233902">
        <w:rPr>
          <w:rFonts w:ascii="Arial" w:hAnsi="Arial" w:cs="Arial"/>
          <w:sz w:val="24"/>
          <w:szCs w:val="24"/>
        </w:rPr>
        <w:t xml:space="preserve"> </w:t>
      </w:r>
    </w:p>
    <w:p w:rsidR="00E91BB8" w:rsidRPr="00233902" w:rsidRDefault="00E91BB8" w:rsidP="00E91BB8">
      <w:pPr>
        <w:pStyle w:val="ListParagraph"/>
        <w:jc w:val="both"/>
        <w:rPr>
          <w:rFonts w:ascii="Arial" w:hAnsi="Arial" w:cs="Arial"/>
          <w:sz w:val="24"/>
          <w:szCs w:val="24"/>
        </w:rPr>
      </w:pPr>
    </w:p>
    <w:p w:rsidR="00E91BB8" w:rsidRPr="00233902" w:rsidRDefault="00E91BB8" w:rsidP="00E91BB8">
      <w:pPr>
        <w:numPr>
          <w:ilvl w:val="0"/>
          <w:numId w:val="2"/>
        </w:numPr>
        <w:spacing w:after="0" w:line="240" w:lineRule="auto"/>
        <w:ind w:left="993" w:hanging="357"/>
        <w:jc w:val="both"/>
        <w:rPr>
          <w:rFonts w:ascii="Arial" w:hAnsi="Arial" w:cs="Arial"/>
          <w:sz w:val="24"/>
          <w:szCs w:val="24"/>
        </w:rPr>
      </w:pPr>
      <w:r w:rsidRPr="00233902">
        <w:rPr>
          <w:rFonts w:ascii="Arial" w:hAnsi="Arial" w:cs="Arial"/>
          <w:sz w:val="24"/>
          <w:szCs w:val="24"/>
        </w:rPr>
        <w:t xml:space="preserve">Address unwarranted variation in service provision and clinical outcomes for </w:t>
      </w:r>
      <w:r w:rsidR="006F4FD1" w:rsidRPr="00233902">
        <w:rPr>
          <w:rFonts w:ascii="Arial" w:hAnsi="Arial" w:cs="Arial"/>
          <w:sz w:val="24"/>
          <w:szCs w:val="24"/>
        </w:rPr>
        <w:t>Women’s Health</w:t>
      </w:r>
      <w:r w:rsidRPr="00233902">
        <w:rPr>
          <w:rFonts w:ascii="Arial" w:hAnsi="Arial" w:cs="Arial"/>
          <w:sz w:val="24"/>
          <w:szCs w:val="24"/>
        </w:rPr>
        <w:t xml:space="preserve"> across L&amp;SC.</w:t>
      </w:r>
    </w:p>
    <w:p w:rsidR="00E91BB8" w:rsidRPr="00233902" w:rsidRDefault="00E91BB8" w:rsidP="00E91BB8">
      <w:pPr>
        <w:jc w:val="both"/>
        <w:rPr>
          <w:rFonts w:ascii="Arial" w:hAnsi="Arial" w:cs="Arial"/>
          <w:sz w:val="24"/>
          <w:szCs w:val="24"/>
        </w:rPr>
      </w:pPr>
    </w:p>
    <w:p w:rsidR="00E91BB8" w:rsidRPr="00233902" w:rsidRDefault="00E91BB8" w:rsidP="00E91BB8">
      <w:pPr>
        <w:numPr>
          <w:ilvl w:val="0"/>
          <w:numId w:val="2"/>
        </w:numPr>
        <w:spacing w:after="0" w:line="240" w:lineRule="auto"/>
        <w:ind w:left="993" w:hanging="357"/>
        <w:jc w:val="both"/>
        <w:rPr>
          <w:rFonts w:ascii="Arial" w:hAnsi="Arial" w:cs="Arial"/>
          <w:sz w:val="24"/>
          <w:szCs w:val="24"/>
        </w:rPr>
      </w:pPr>
      <w:r w:rsidRPr="00233902">
        <w:rPr>
          <w:rFonts w:ascii="Arial" w:hAnsi="Arial" w:cs="Arial"/>
          <w:sz w:val="24"/>
          <w:szCs w:val="24"/>
        </w:rPr>
        <w:t>Encourage innovative thinking, new approaches and improvement in support and care with across the system.</w:t>
      </w:r>
    </w:p>
    <w:p w:rsidR="00E91BB8" w:rsidRPr="00233902" w:rsidRDefault="00E91BB8" w:rsidP="00E91BB8">
      <w:pPr>
        <w:jc w:val="both"/>
        <w:rPr>
          <w:rFonts w:ascii="Arial" w:hAnsi="Arial" w:cs="Arial"/>
          <w:sz w:val="24"/>
          <w:szCs w:val="24"/>
        </w:rPr>
      </w:pPr>
    </w:p>
    <w:p w:rsidR="00E91BB8" w:rsidRPr="00233902" w:rsidRDefault="00E91BB8" w:rsidP="00E91BB8">
      <w:pPr>
        <w:numPr>
          <w:ilvl w:val="0"/>
          <w:numId w:val="2"/>
        </w:numPr>
        <w:spacing w:after="0" w:line="240" w:lineRule="auto"/>
        <w:ind w:left="993" w:hanging="357"/>
        <w:jc w:val="both"/>
        <w:rPr>
          <w:rFonts w:ascii="Arial" w:hAnsi="Arial" w:cs="Arial"/>
          <w:sz w:val="24"/>
          <w:szCs w:val="24"/>
        </w:rPr>
      </w:pPr>
      <w:r w:rsidRPr="00233902">
        <w:rPr>
          <w:rFonts w:ascii="Arial" w:hAnsi="Arial" w:cs="Arial"/>
          <w:sz w:val="24"/>
          <w:szCs w:val="24"/>
        </w:rPr>
        <w:t xml:space="preserve">Work closely with other Partnership programmes to promote the objectives of the programme and ensure a consistent focus on improving services for the benefit of the population of </w:t>
      </w:r>
      <w:r w:rsidR="006F0748" w:rsidRPr="00233902">
        <w:rPr>
          <w:rFonts w:ascii="Arial" w:hAnsi="Arial" w:cs="Arial"/>
          <w:sz w:val="24"/>
          <w:szCs w:val="24"/>
        </w:rPr>
        <w:t xml:space="preserve">Women </w:t>
      </w:r>
      <w:r w:rsidRPr="00233902">
        <w:rPr>
          <w:rFonts w:ascii="Arial" w:hAnsi="Arial" w:cs="Arial"/>
          <w:sz w:val="24"/>
          <w:szCs w:val="24"/>
        </w:rPr>
        <w:t>across L&amp;SC.</w:t>
      </w:r>
    </w:p>
    <w:p w:rsidR="00E91BB8" w:rsidRPr="00233902" w:rsidRDefault="00E91BB8" w:rsidP="00E91BB8">
      <w:pPr>
        <w:jc w:val="both"/>
        <w:rPr>
          <w:rFonts w:ascii="Arial" w:hAnsi="Arial" w:cs="Arial"/>
          <w:sz w:val="24"/>
          <w:szCs w:val="24"/>
        </w:rPr>
      </w:pPr>
    </w:p>
    <w:p w:rsidR="00E91BB8" w:rsidRPr="00233902" w:rsidRDefault="00E91BB8" w:rsidP="00E91BB8">
      <w:pPr>
        <w:pStyle w:val="ListParagraph"/>
        <w:numPr>
          <w:ilvl w:val="0"/>
          <w:numId w:val="2"/>
        </w:numPr>
        <w:tabs>
          <w:tab w:val="left" w:pos="985"/>
        </w:tabs>
        <w:spacing w:after="0" w:line="240" w:lineRule="auto"/>
        <w:ind w:left="993"/>
        <w:jc w:val="both"/>
        <w:rPr>
          <w:rFonts w:ascii="Arial" w:hAnsi="Arial" w:cs="Arial"/>
          <w:sz w:val="24"/>
          <w:szCs w:val="24"/>
        </w:rPr>
      </w:pPr>
      <w:r w:rsidRPr="00233902">
        <w:rPr>
          <w:rFonts w:ascii="Arial" w:hAnsi="Arial" w:cs="Arial"/>
          <w:sz w:val="24"/>
          <w:szCs w:val="24"/>
        </w:rPr>
        <w:t xml:space="preserve">Maintain a risk matrix to support the active monitoring and focus on </w:t>
      </w:r>
      <w:r w:rsidR="000D1806" w:rsidRPr="00233902">
        <w:rPr>
          <w:rFonts w:ascii="Arial" w:hAnsi="Arial" w:cs="Arial"/>
          <w:sz w:val="24"/>
          <w:szCs w:val="24"/>
        </w:rPr>
        <w:t xml:space="preserve">Women’s Health </w:t>
      </w:r>
      <w:r w:rsidRPr="00233902">
        <w:rPr>
          <w:rFonts w:ascii="Arial" w:hAnsi="Arial" w:cs="Arial"/>
          <w:sz w:val="24"/>
          <w:szCs w:val="24"/>
        </w:rPr>
        <w:t xml:space="preserve">Delivery plan to ensure delivery and impact. </w:t>
      </w:r>
    </w:p>
    <w:p w:rsidR="00E91BB8" w:rsidRPr="00233902" w:rsidRDefault="00E91BB8" w:rsidP="00E91BB8">
      <w:pPr>
        <w:jc w:val="both"/>
        <w:rPr>
          <w:rFonts w:ascii="Arial" w:hAnsi="Arial" w:cs="Arial"/>
          <w:sz w:val="24"/>
          <w:szCs w:val="24"/>
        </w:rPr>
      </w:pPr>
      <w:bookmarkStart w:id="0" w:name="_Toc499544177"/>
      <w:bookmarkStart w:id="1" w:name="_Toc506286144"/>
      <w:bookmarkStart w:id="2" w:name="_Toc506286255"/>
      <w:bookmarkStart w:id="3" w:name="_Toc499544176"/>
    </w:p>
    <w:p w:rsidR="00E91BB8" w:rsidRPr="00233902" w:rsidRDefault="00E91BB8" w:rsidP="00E91BB8">
      <w:pPr>
        <w:numPr>
          <w:ilvl w:val="0"/>
          <w:numId w:val="2"/>
        </w:numPr>
        <w:spacing w:after="0" w:line="240" w:lineRule="auto"/>
        <w:ind w:left="993" w:hanging="357"/>
        <w:jc w:val="both"/>
        <w:rPr>
          <w:rFonts w:ascii="Arial" w:hAnsi="Arial" w:cs="Arial"/>
          <w:sz w:val="24"/>
          <w:szCs w:val="24"/>
        </w:rPr>
      </w:pPr>
      <w:r w:rsidRPr="00233902">
        <w:rPr>
          <w:rFonts w:ascii="Arial" w:hAnsi="Arial" w:cs="Arial"/>
          <w:sz w:val="24"/>
          <w:szCs w:val="24"/>
        </w:rPr>
        <w:t xml:space="preserve">Oversee a </w:t>
      </w:r>
      <w:bookmarkEnd w:id="0"/>
      <w:bookmarkEnd w:id="1"/>
      <w:bookmarkEnd w:id="2"/>
      <w:r w:rsidRPr="00233902">
        <w:rPr>
          <w:rFonts w:ascii="Arial" w:hAnsi="Arial" w:cs="Arial"/>
          <w:sz w:val="24"/>
          <w:szCs w:val="24"/>
        </w:rPr>
        <w:t>consistent approach for assurance and accountability.</w:t>
      </w:r>
      <w:bookmarkEnd w:id="3"/>
    </w:p>
    <w:p w:rsidR="00E91BB8" w:rsidRPr="00233902" w:rsidRDefault="00E91BB8" w:rsidP="00E91BB8">
      <w:pPr>
        <w:jc w:val="both"/>
        <w:rPr>
          <w:rFonts w:ascii="Arial" w:hAnsi="Arial" w:cs="Arial"/>
          <w:sz w:val="24"/>
          <w:szCs w:val="24"/>
        </w:rPr>
      </w:pPr>
    </w:p>
    <w:p w:rsidR="00E91BB8" w:rsidRPr="00233902" w:rsidRDefault="00E91BB8" w:rsidP="00E91BB8">
      <w:pPr>
        <w:numPr>
          <w:ilvl w:val="0"/>
          <w:numId w:val="2"/>
        </w:numPr>
        <w:spacing w:after="0" w:line="240" w:lineRule="auto"/>
        <w:ind w:left="993" w:hanging="357"/>
        <w:jc w:val="both"/>
        <w:rPr>
          <w:rFonts w:ascii="Arial" w:hAnsi="Arial" w:cs="Arial"/>
          <w:sz w:val="24"/>
          <w:szCs w:val="24"/>
        </w:rPr>
      </w:pPr>
      <w:r w:rsidRPr="00233902">
        <w:rPr>
          <w:rFonts w:ascii="Arial" w:hAnsi="Arial" w:cs="Arial"/>
          <w:sz w:val="24"/>
          <w:szCs w:val="24"/>
        </w:rPr>
        <w:t xml:space="preserve">Adopt an approach to making joint decisions and resolving any disagreements which follows the principle of subsidiarity and is in line with the shared values and behaviours of the partnership.  </w:t>
      </w:r>
    </w:p>
    <w:p w:rsidR="00E91BB8" w:rsidRPr="00233902" w:rsidRDefault="00E91BB8" w:rsidP="00E91BB8">
      <w:pPr>
        <w:jc w:val="both"/>
        <w:rPr>
          <w:rFonts w:ascii="Arial" w:hAnsi="Arial" w:cs="Arial"/>
          <w:sz w:val="24"/>
          <w:szCs w:val="24"/>
        </w:rPr>
      </w:pPr>
    </w:p>
    <w:p w:rsidR="00E91BB8" w:rsidRPr="00233902" w:rsidRDefault="00E91BB8" w:rsidP="00E91BB8">
      <w:pPr>
        <w:numPr>
          <w:ilvl w:val="0"/>
          <w:numId w:val="2"/>
        </w:numPr>
        <w:spacing w:after="0" w:line="240" w:lineRule="auto"/>
        <w:ind w:left="993" w:hanging="357"/>
        <w:jc w:val="both"/>
        <w:rPr>
          <w:rFonts w:ascii="Arial" w:hAnsi="Arial" w:cs="Arial"/>
          <w:sz w:val="24"/>
          <w:szCs w:val="24"/>
        </w:rPr>
      </w:pPr>
      <w:r w:rsidRPr="00233902">
        <w:rPr>
          <w:rFonts w:ascii="Arial" w:hAnsi="Arial" w:cs="Arial"/>
          <w:sz w:val="24"/>
          <w:szCs w:val="24"/>
        </w:rPr>
        <w:t xml:space="preserve">promote sharing and learning across LSC in relation to </w:t>
      </w:r>
      <w:r w:rsidR="0058499A" w:rsidRPr="00233902">
        <w:rPr>
          <w:rFonts w:ascii="Arial" w:hAnsi="Arial" w:cs="Arial"/>
          <w:sz w:val="24"/>
          <w:szCs w:val="24"/>
        </w:rPr>
        <w:t>Women’s Health</w:t>
      </w:r>
      <w:r w:rsidRPr="00233902">
        <w:rPr>
          <w:rFonts w:ascii="Arial" w:hAnsi="Arial" w:cs="Arial"/>
          <w:sz w:val="24"/>
          <w:szCs w:val="24"/>
        </w:rPr>
        <w:t xml:space="preserve"> services, share best practice initiatives and encourage, adopt and spread.  </w:t>
      </w:r>
    </w:p>
    <w:p w:rsidR="00E91BB8" w:rsidRPr="00233902" w:rsidRDefault="00E91BB8" w:rsidP="00E91BB8">
      <w:pPr>
        <w:pStyle w:val="ListParagraph"/>
        <w:jc w:val="both"/>
        <w:rPr>
          <w:rFonts w:ascii="Arial" w:hAnsi="Arial" w:cs="Arial"/>
          <w:sz w:val="24"/>
          <w:szCs w:val="24"/>
        </w:rPr>
      </w:pPr>
    </w:p>
    <w:p w:rsidR="00E91BB8" w:rsidRPr="00233902" w:rsidRDefault="00E91BB8" w:rsidP="00E91BB8">
      <w:pPr>
        <w:pStyle w:val="ListParagraph"/>
        <w:numPr>
          <w:ilvl w:val="0"/>
          <w:numId w:val="2"/>
        </w:numPr>
        <w:spacing w:after="0" w:line="240" w:lineRule="auto"/>
        <w:ind w:left="993"/>
        <w:jc w:val="both"/>
        <w:rPr>
          <w:rFonts w:ascii="Arial" w:hAnsi="Arial" w:cs="Arial"/>
          <w:sz w:val="24"/>
          <w:szCs w:val="24"/>
        </w:rPr>
      </w:pPr>
      <w:r w:rsidRPr="00233902">
        <w:rPr>
          <w:rFonts w:ascii="Arial" w:hAnsi="Arial" w:cs="Arial"/>
          <w:sz w:val="24"/>
          <w:szCs w:val="24"/>
        </w:rPr>
        <w:t xml:space="preserve">Determine, monitor progress and mobilise improvement initiatives against </w:t>
      </w:r>
      <w:proofErr w:type="gramStart"/>
      <w:r w:rsidRPr="00233902">
        <w:rPr>
          <w:rFonts w:ascii="Arial" w:hAnsi="Arial" w:cs="Arial"/>
          <w:sz w:val="24"/>
          <w:szCs w:val="24"/>
        </w:rPr>
        <w:t>a number of</w:t>
      </w:r>
      <w:proofErr w:type="gramEnd"/>
      <w:r w:rsidRPr="00233902">
        <w:rPr>
          <w:rFonts w:ascii="Arial" w:hAnsi="Arial" w:cs="Arial"/>
          <w:sz w:val="24"/>
          <w:szCs w:val="24"/>
        </w:rPr>
        <w:t xml:space="preserve"> Key Indicators as specified within the national </w:t>
      </w:r>
      <w:r w:rsidR="00D11942" w:rsidRPr="00233902">
        <w:rPr>
          <w:rFonts w:ascii="Arial" w:hAnsi="Arial" w:cs="Arial"/>
          <w:sz w:val="24"/>
          <w:szCs w:val="24"/>
        </w:rPr>
        <w:t>Strategy</w:t>
      </w:r>
      <w:r w:rsidRPr="00233902">
        <w:rPr>
          <w:rFonts w:ascii="Arial" w:hAnsi="Arial" w:cs="Arial"/>
          <w:sz w:val="24"/>
          <w:szCs w:val="24"/>
        </w:rPr>
        <w:t xml:space="preserve">. These may be implemented in collaboration with the relevant ICP. </w:t>
      </w:r>
    </w:p>
    <w:p w:rsidR="00E91BB8" w:rsidRPr="00233902" w:rsidRDefault="00E91BB8" w:rsidP="00E91BB8">
      <w:pPr>
        <w:jc w:val="both"/>
        <w:rPr>
          <w:rFonts w:ascii="Arial" w:hAnsi="Arial" w:cs="Arial"/>
          <w:sz w:val="24"/>
          <w:szCs w:val="24"/>
        </w:rPr>
      </w:pPr>
    </w:p>
    <w:p w:rsidR="00380D11" w:rsidRPr="00233902" w:rsidRDefault="00E91BB8" w:rsidP="00106B71">
      <w:pPr>
        <w:pStyle w:val="ListParagraph"/>
        <w:numPr>
          <w:ilvl w:val="0"/>
          <w:numId w:val="2"/>
        </w:numPr>
        <w:spacing w:after="0" w:line="240" w:lineRule="auto"/>
        <w:ind w:left="993" w:hanging="357"/>
        <w:jc w:val="both"/>
        <w:rPr>
          <w:rFonts w:ascii="Arial" w:hAnsi="Arial" w:cs="Arial"/>
          <w:sz w:val="24"/>
          <w:szCs w:val="24"/>
        </w:rPr>
      </w:pPr>
      <w:r w:rsidRPr="00233902">
        <w:rPr>
          <w:rFonts w:ascii="Arial" w:hAnsi="Arial" w:cs="Arial"/>
          <w:sz w:val="24"/>
          <w:szCs w:val="24"/>
        </w:rPr>
        <w:t>Receive reports</w:t>
      </w:r>
      <w:r w:rsidR="007475CE" w:rsidRPr="00233902">
        <w:rPr>
          <w:rFonts w:ascii="Arial" w:hAnsi="Arial" w:cs="Arial"/>
          <w:sz w:val="24"/>
          <w:szCs w:val="24"/>
        </w:rPr>
        <w:t xml:space="preserve"> and data</w:t>
      </w:r>
      <w:r w:rsidRPr="00233902">
        <w:rPr>
          <w:rFonts w:ascii="Arial" w:hAnsi="Arial" w:cs="Arial"/>
          <w:sz w:val="24"/>
          <w:szCs w:val="24"/>
        </w:rPr>
        <w:t xml:space="preserve"> in relation to workstream, risks and issues including appraisal of any variation to time, cost and quality of workstream and/or programme deliverables. </w:t>
      </w:r>
    </w:p>
    <w:p w:rsidR="00BD3130" w:rsidRPr="00233902" w:rsidRDefault="00BD3130" w:rsidP="00BD3130">
      <w:pPr>
        <w:pStyle w:val="ListParagraph"/>
        <w:rPr>
          <w:rFonts w:ascii="Arial" w:hAnsi="Arial" w:cs="Arial"/>
          <w:sz w:val="24"/>
          <w:szCs w:val="24"/>
        </w:rPr>
      </w:pPr>
    </w:p>
    <w:p w:rsidR="00BD3130" w:rsidRPr="00233902" w:rsidRDefault="00C107F8" w:rsidP="00106B71">
      <w:pPr>
        <w:pStyle w:val="ListParagraph"/>
        <w:numPr>
          <w:ilvl w:val="0"/>
          <w:numId w:val="2"/>
        </w:numPr>
        <w:spacing w:after="0" w:line="240" w:lineRule="auto"/>
        <w:ind w:left="993" w:hanging="357"/>
        <w:jc w:val="both"/>
        <w:rPr>
          <w:rFonts w:ascii="Arial" w:hAnsi="Arial" w:cs="Arial"/>
          <w:sz w:val="24"/>
          <w:szCs w:val="24"/>
        </w:rPr>
      </w:pPr>
      <w:r w:rsidRPr="00233902">
        <w:rPr>
          <w:rFonts w:ascii="Arial" w:hAnsi="Arial" w:cs="Arial"/>
          <w:sz w:val="24"/>
          <w:szCs w:val="24"/>
        </w:rPr>
        <w:t xml:space="preserve">Ensure that within this process, workforce considerations are </w:t>
      </w:r>
      <w:proofErr w:type="gramStart"/>
      <w:r w:rsidR="00E7710F" w:rsidRPr="00233902">
        <w:rPr>
          <w:rFonts w:ascii="Arial" w:hAnsi="Arial" w:cs="Arial"/>
          <w:sz w:val="24"/>
          <w:szCs w:val="24"/>
        </w:rPr>
        <w:t>taken into account</w:t>
      </w:r>
      <w:proofErr w:type="gramEnd"/>
      <w:r w:rsidR="00E7710F" w:rsidRPr="00233902">
        <w:rPr>
          <w:rFonts w:ascii="Arial" w:hAnsi="Arial" w:cs="Arial"/>
          <w:sz w:val="24"/>
          <w:szCs w:val="24"/>
        </w:rPr>
        <w:t>.</w:t>
      </w:r>
    </w:p>
    <w:p w:rsidR="00E91BB8" w:rsidRPr="00233902" w:rsidRDefault="00E91BB8" w:rsidP="00E91BB8">
      <w:pPr>
        <w:pStyle w:val="ListParagraph"/>
        <w:ind w:left="993"/>
        <w:jc w:val="both"/>
        <w:rPr>
          <w:rFonts w:ascii="Arial" w:hAnsi="Arial" w:cs="Arial"/>
          <w:sz w:val="24"/>
          <w:szCs w:val="24"/>
        </w:rPr>
      </w:pPr>
    </w:p>
    <w:p w:rsidR="00D342A2" w:rsidRPr="00233902" w:rsidRDefault="00D342A2" w:rsidP="00E91BB8">
      <w:pPr>
        <w:pStyle w:val="ListParagraph"/>
        <w:ind w:left="993"/>
        <w:jc w:val="both"/>
        <w:rPr>
          <w:rFonts w:ascii="Arial" w:hAnsi="Arial" w:cs="Arial"/>
          <w:sz w:val="24"/>
          <w:szCs w:val="24"/>
        </w:rPr>
      </w:pPr>
    </w:p>
    <w:p w:rsidR="004718E4" w:rsidRPr="00233902" w:rsidRDefault="00B41FF2" w:rsidP="0046015C">
      <w:pPr>
        <w:pStyle w:val="ListParagraph"/>
        <w:numPr>
          <w:ilvl w:val="0"/>
          <w:numId w:val="1"/>
        </w:numPr>
        <w:spacing w:line="240" w:lineRule="auto"/>
        <w:rPr>
          <w:rFonts w:ascii="Arial" w:hAnsi="Arial" w:cs="Arial"/>
          <w:b/>
          <w:bCs/>
          <w:color w:val="1F3864" w:themeColor="accent1" w:themeShade="80"/>
          <w:sz w:val="24"/>
          <w:szCs w:val="24"/>
          <w:shd w:val="clear" w:color="auto" w:fill="FFFFFF"/>
        </w:rPr>
      </w:pPr>
      <w:r w:rsidRPr="00233902">
        <w:rPr>
          <w:rFonts w:ascii="Arial" w:hAnsi="Arial" w:cs="Arial"/>
          <w:b/>
          <w:bCs/>
          <w:color w:val="1F3864" w:themeColor="accent1" w:themeShade="80"/>
          <w:sz w:val="24"/>
          <w:szCs w:val="24"/>
          <w:shd w:val="clear" w:color="auto" w:fill="FFFFFF"/>
        </w:rPr>
        <w:t>Accountability</w:t>
      </w:r>
      <w:r w:rsidR="0068387E" w:rsidRPr="00233902">
        <w:rPr>
          <w:rFonts w:ascii="Arial" w:hAnsi="Arial" w:cs="Arial"/>
          <w:b/>
          <w:bCs/>
          <w:color w:val="1F3864" w:themeColor="accent1" w:themeShade="80"/>
          <w:sz w:val="24"/>
          <w:szCs w:val="24"/>
          <w:shd w:val="clear" w:color="auto" w:fill="FFFFFF"/>
        </w:rPr>
        <w:t>/QS</w:t>
      </w:r>
    </w:p>
    <w:p w:rsidR="00002513" w:rsidRPr="00233902" w:rsidRDefault="00002513" w:rsidP="0046015C">
      <w:pPr>
        <w:spacing w:line="240" w:lineRule="auto"/>
        <w:rPr>
          <w:rFonts w:ascii="Arial" w:hAnsi="Arial" w:cs="Arial"/>
          <w:sz w:val="24"/>
          <w:szCs w:val="24"/>
          <w:shd w:val="clear" w:color="auto" w:fill="FFFFFF"/>
        </w:rPr>
      </w:pPr>
      <w:r w:rsidRPr="00233902">
        <w:rPr>
          <w:rFonts w:ascii="Arial" w:hAnsi="Arial" w:cs="Arial"/>
          <w:sz w:val="24"/>
          <w:szCs w:val="24"/>
          <w:shd w:val="clear" w:color="auto" w:fill="FFFFFF"/>
        </w:rPr>
        <w:t xml:space="preserve">This </w:t>
      </w:r>
      <w:r w:rsidR="009D5A99" w:rsidRPr="00233902">
        <w:rPr>
          <w:rFonts w:ascii="Arial" w:hAnsi="Arial" w:cs="Arial"/>
          <w:sz w:val="24"/>
          <w:szCs w:val="24"/>
          <w:shd w:val="clear" w:color="auto" w:fill="FFFFFF"/>
        </w:rPr>
        <w:t>board reports into</w:t>
      </w:r>
      <w:r w:rsidR="00AD5E6D" w:rsidRPr="00233902">
        <w:rPr>
          <w:rFonts w:ascii="Arial" w:hAnsi="Arial" w:cs="Arial"/>
          <w:sz w:val="24"/>
          <w:szCs w:val="24"/>
          <w:shd w:val="clear" w:color="auto" w:fill="FFFFFF"/>
        </w:rPr>
        <w:t>:</w:t>
      </w:r>
    </w:p>
    <w:p w:rsidR="00AD5E6D" w:rsidRPr="00233902" w:rsidRDefault="00AD5E6D" w:rsidP="00AD5E6D">
      <w:pPr>
        <w:pStyle w:val="ListParagraph"/>
        <w:numPr>
          <w:ilvl w:val="0"/>
          <w:numId w:val="12"/>
        </w:numPr>
        <w:spacing w:line="240" w:lineRule="auto"/>
        <w:rPr>
          <w:rFonts w:ascii="Arial" w:hAnsi="Arial" w:cs="Arial"/>
          <w:sz w:val="24"/>
          <w:szCs w:val="24"/>
          <w:shd w:val="clear" w:color="auto" w:fill="FFFFFF"/>
        </w:rPr>
      </w:pPr>
      <w:r w:rsidRPr="00233902">
        <w:rPr>
          <w:rFonts w:ascii="Arial" w:hAnsi="Arial" w:cs="Arial"/>
          <w:sz w:val="24"/>
          <w:szCs w:val="24"/>
          <w:shd w:val="clear" w:color="auto" w:fill="FFFFFF"/>
        </w:rPr>
        <w:t xml:space="preserve">ICB </w:t>
      </w:r>
      <w:r w:rsidR="00E7710F" w:rsidRPr="00233902">
        <w:rPr>
          <w:rFonts w:ascii="Arial" w:hAnsi="Arial" w:cs="Arial"/>
          <w:sz w:val="24"/>
          <w:szCs w:val="24"/>
          <w:shd w:val="clear" w:color="auto" w:fill="FFFFFF"/>
        </w:rPr>
        <w:t>Q</w:t>
      </w:r>
      <w:r w:rsidR="00340B8F" w:rsidRPr="00233902">
        <w:rPr>
          <w:rFonts w:ascii="Arial" w:hAnsi="Arial" w:cs="Arial"/>
          <w:sz w:val="24"/>
          <w:szCs w:val="24"/>
          <w:shd w:val="clear" w:color="auto" w:fill="FFFFFF"/>
        </w:rPr>
        <w:t xml:space="preserve">uality </w:t>
      </w:r>
      <w:r w:rsidR="00E7710F" w:rsidRPr="00233902">
        <w:rPr>
          <w:rFonts w:ascii="Arial" w:hAnsi="Arial" w:cs="Arial"/>
          <w:sz w:val="24"/>
          <w:szCs w:val="24"/>
          <w:shd w:val="clear" w:color="auto" w:fill="FFFFFF"/>
        </w:rPr>
        <w:t>C</w:t>
      </w:r>
      <w:r w:rsidR="00340B8F" w:rsidRPr="00233902">
        <w:rPr>
          <w:rFonts w:ascii="Arial" w:hAnsi="Arial" w:cs="Arial"/>
          <w:sz w:val="24"/>
          <w:szCs w:val="24"/>
          <w:shd w:val="clear" w:color="auto" w:fill="FFFFFF"/>
        </w:rPr>
        <w:t>ommittee</w:t>
      </w:r>
    </w:p>
    <w:p w:rsidR="00340B8F" w:rsidRPr="00233902" w:rsidRDefault="00340B8F" w:rsidP="00AD5E6D">
      <w:pPr>
        <w:pStyle w:val="ListParagraph"/>
        <w:numPr>
          <w:ilvl w:val="0"/>
          <w:numId w:val="12"/>
        </w:numPr>
        <w:spacing w:line="240" w:lineRule="auto"/>
        <w:rPr>
          <w:rFonts w:ascii="Arial" w:hAnsi="Arial" w:cs="Arial"/>
          <w:sz w:val="24"/>
          <w:szCs w:val="24"/>
          <w:shd w:val="clear" w:color="auto" w:fill="FFFFFF"/>
        </w:rPr>
      </w:pPr>
      <w:r w:rsidRPr="00233902">
        <w:rPr>
          <w:rFonts w:ascii="Arial" w:hAnsi="Arial" w:cs="Arial"/>
          <w:sz w:val="24"/>
          <w:szCs w:val="24"/>
          <w:shd w:val="clear" w:color="auto" w:fill="FFFFFF"/>
        </w:rPr>
        <w:t xml:space="preserve">ICB </w:t>
      </w:r>
      <w:r w:rsidR="00E7710F" w:rsidRPr="00233902">
        <w:rPr>
          <w:rFonts w:ascii="Arial" w:hAnsi="Arial" w:cs="Arial"/>
          <w:sz w:val="24"/>
          <w:szCs w:val="24"/>
          <w:shd w:val="clear" w:color="auto" w:fill="FFFFFF"/>
        </w:rPr>
        <w:t>P</w:t>
      </w:r>
      <w:r w:rsidRPr="00233902">
        <w:rPr>
          <w:rFonts w:ascii="Arial" w:hAnsi="Arial" w:cs="Arial"/>
          <w:sz w:val="24"/>
          <w:szCs w:val="24"/>
          <w:shd w:val="clear" w:color="auto" w:fill="FFFFFF"/>
        </w:rPr>
        <w:t xml:space="preserve">eople </w:t>
      </w:r>
      <w:r w:rsidR="00E7710F" w:rsidRPr="00233902">
        <w:rPr>
          <w:rFonts w:ascii="Arial" w:hAnsi="Arial" w:cs="Arial"/>
          <w:sz w:val="24"/>
          <w:szCs w:val="24"/>
          <w:shd w:val="clear" w:color="auto" w:fill="FFFFFF"/>
        </w:rPr>
        <w:t>B</w:t>
      </w:r>
      <w:r w:rsidRPr="00233902">
        <w:rPr>
          <w:rFonts w:ascii="Arial" w:hAnsi="Arial" w:cs="Arial"/>
          <w:sz w:val="24"/>
          <w:szCs w:val="24"/>
          <w:shd w:val="clear" w:color="auto" w:fill="FFFFFF"/>
        </w:rPr>
        <w:t>oard</w:t>
      </w:r>
      <w:r w:rsidR="00E7710F" w:rsidRPr="00233902">
        <w:rPr>
          <w:rFonts w:ascii="Arial" w:hAnsi="Arial" w:cs="Arial"/>
          <w:sz w:val="24"/>
          <w:szCs w:val="24"/>
          <w:shd w:val="clear" w:color="auto" w:fill="FFFFFF"/>
        </w:rPr>
        <w:t xml:space="preserve"> (where workforce interfaces with this programme)</w:t>
      </w:r>
    </w:p>
    <w:p w:rsidR="00340B8F" w:rsidRPr="00233902" w:rsidRDefault="00340B8F" w:rsidP="00AD5E6D">
      <w:pPr>
        <w:pStyle w:val="ListParagraph"/>
        <w:numPr>
          <w:ilvl w:val="0"/>
          <w:numId w:val="12"/>
        </w:numPr>
        <w:spacing w:line="240" w:lineRule="auto"/>
        <w:rPr>
          <w:rFonts w:ascii="Arial" w:hAnsi="Arial" w:cs="Arial"/>
          <w:sz w:val="24"/>
          <w:szCs w:val="24"/>
          <w:shd w:val="clear" w:color="auto" w:fill="FFFFFF"/>
        </w:rPr>
      </w:pPr>
      <w:r w:rsidRPr="00233902">
        <w:rPr>
          <w:rFonts w:ascii="Arial" w:hAnsi="Arial" w:cs="Arial"/>
          <w:sz w:val="24"/>
          <w:szCs w:val="24"/>
          <w:shd w:val="clear" w:color="auto" w:fill="FFFFFF"/>
        </w:rPr>
        <w:t xml:space="preserve">ICB </w:t>
      </w:r>
      <w:r w:rsidR="00E7710F" w:rsidRPr="00233902">
        <w:rPr>
          <w:rFonts w:ascii="Arial" w:hAnsi="Arial" w:cs="Arial"/>
          <w:sz w:val="24"/>
          <w:szCs w:val="24"/>
          <w:shd w:val="clear" w:color="auto" w:fill="FFFFFF"/>
        </w:rPr>
        <w:t>P</w:t>
      </w:r>
      <w:r w:rsidR="00331253" w:rsidRPr="00233902">
        <w:rPr>
          <w:rFonts w:ascii="Arial" w:hAnsi="Arial" w:cs="Arial"/>
          <w:sz w:val="24"/>
          <w:szCs w:val="24"/>
          <w:shd w:val="clear" w:color="auto" w:fill="FFFFFF"/>
        </w:rPr>
        <w:t xml:space="preserve">revention and Health </w:t>
      </w:r>
      <w:r w:rsidR="00E7710F" w:rsidRPr="00233902">
        <w:rPr>
          <w:rFonts w:ascii="Arial" w:hAnsi="Arial" w:cs="Arial"/>
          <w:sz w:val="24"/>
          <w:szCs w:val="24"/>
          <w:shd w:val="clear" w:color="auto" w:fill="FFFFFF"/>
        </w:rPr>
        <w:t>I</w:t>
      </w:r>
      <w:r w:rsidR="00331253" w:rsidRPr="00233902">
        <w:rPr>
          <w:rFonts w:ascii="Arial" w:hAnsi="Arial" w:cs="Arial"/>
          <w:sz w:val="24"/>
          <w:szCs w:val="24"/>
          <w:shd w:val="clear" w:color="auto" w:fill="FFFFFF"/>
        </w:rPr>
        <w:t>nequalit</w:t>
      </w:r>
      <w:r w:rsidR="00E7710F" w:rsidRPr="00233902">
        <w:rPr>
          <w:rFonts w:ascii="Arial" w:hAnsi="Arial" w:cs="Arial"/>
          <w:sz w:val="24"/>
          <w:szCs w:val="24"/>
          <w:shd w:val="clear" w:color="auto" w:fill="FFFFFF"/>
        </w:rPr>
        <w:t>ies</w:t>
      </w:r>
      <w:r w:rsidR="00331253" w:rsidRPr="00233902">
        <w:rPr>
          <w:rFonts w:ascii="Arial" w:hAnsi="Arial" w:cs="Arial"/>
          <w:sz w:val="24"/>
          <w:szCs w:val="24"/>
          <w:shd w:val="clear" w:color="auto" w:fill="FFFFFF"/>
        </w:rPr>
        <w:t xml:space="preserve"> </w:t>
      </w:r>
      <w:r w:rsidR="00E7710F" w:rsidRPr="00233902">
        <w:rPr>
          <w:rFonts w:ascii="Arial" w:hAnsi="Arial" w:cs="Arial"/>
          <w:sz w:val="24"/>
          <w:szCs w:val="24"/>
          <w:shd w:val="clear" w:color="auto" w:fill="FFFFFF"/>
        </w:rPr>
        <w:t>S</w:t>
      </w:r>
      <w:r w:rsidR="00331253" w:rsidRPr="00233902">
        <w:rPr>
          <w:rFonts w:ascii="Arial" w:hAnsi="Arial" w:cs="Arial"/>
          <w:sz w:val="24"/>
          <w:szCs w:val="24"/>
          <w:shd w:val="clear" w:color="auto" w:fill="FFFFFF"/>
        </w:rPr>
        <w:t xml:space="preserve">teering </w:t>
      </w:r>
      <w:r w:rsidR="00E7710F" w:rsidRPr="00233902">
        <w:rPr>
          <w:rFonts w:ascii="Arial" w:hAnsi="Arial" w:cs="Arial"/>
          <w:sz w:val="24"/>
          <w:szCs w:val="24"/>
          <w:shd w:val="clear" w:color="auto" w:fill="FFFFFF"/>
        </w:rPr>
        <w:t>G</w:t>
      </w:r>
      <w:r w:rsidR="00331253" w:rsidRPr="00233902">
        <w:rPr>
          <w:rFonts w:ascii="Arial" w:hAnsi="Arial" w:cs="Arial"/>
          <w:sz w:val="24"/>
          <w:szCs w:val="24"/>
          <w:shd w:val="clear" w:color="auto" w:fill="FFFFFF"/>
        </w:rPr>
        <w:t>roup</w:t>
      </w:r>
    </w:p>
    <w:p w:rsidR="00A1326C" w:rsidRPr="00233902" w:rsidRDefault="001515EF" w:rsidP="00AD5E6D">
      <w:pPr>
        <w:pStyle w:val="ListParagraph"/>
        <w:numPr>
          <w:ilvl w:val="0"/>
          <w:numId w:val="12"/>
        </w:numPr>
        <w:spacing w:line="240" w:lineRule="auto"/>
        <w:rPr>
          <w:rFonts w:ascii="Arial" w:hAnsi="Arial" w:cs="Arial"/>
          <w:sz w:val="24"/>
          <w:szCs w:val="24"/>
          <w:shd w:val="clear" w:color="auto" w:fill="FFFFFF"/>
        </w:rPr>
      </w:pPr>
      <w:r w:rsidRPr="00233902">
        <w:rPr>
          <w:rFonts w:ascii="Arial" w:hAnsi="Arial" w:cs="Arial"/>
          <w:sz w:val="24"/>
          <w:szCs w:val="24"/>
          <w:shd w:val="clear" w:color="auto" w:fill="FFFFFF"/>
        </w:rPr>
        <w:t>NHS</w:t>
      </w:r>
      <w:r w:rsidR="00E7710F" w:rsidRPr="00233902">
        <w:rPr>
          <w:rFonts w:ascii="Arial" w:hAnsi="Arial" w:cs="Arial"/>
          <w:sz w:val="24"/>
          <w:szCs w:val="24"/>
          <w:shd w:val="clear" w:color="auto" w:fill="FFFFFF"/>
        </w:rPr>
        <w:t xml:space="preserve"> </w:t>
      </w:r>
      <w:r w:rsidRPr="00233902">
        <w:rPr>
          <w:rFonts w:ascii="Arial" w:hAnsi="Arial" w:cs="Arial"/>
          <w:sz w:val="24"/>
          <w:szCs w:val="24"/>
          <w:shd w:val="clear" w:color="auto" w:fill="FFFFFF"/>
        </w:rPr>
        <w:t xml:space="preserve">E </w:t>
      </w:r>
      <w:r w:rsidR="00E7710F" w:rsidRPr="00233902">
        <w:rPr>
          <w:rFonts w:ascii="Arial" w:hAnsi="Arial" w:cs="Arial"/>
          <w:sz w:val="24"/>
          <w:szCs w:val="24"/>
          <w:shd w:val="clear" w:color="auto" w:fill="FFFFFF"/>
        </w:rPr>
        <w:t>W</w:t>
      </w:r>
      <w:r w:rsidRPr="00233902">
        <w:rPr>
          <w:rFonts w:ascii="Arial" w:hAnsi="Arial" w:cs="Arial"/>
          <w:sz w:val="24"/>
          <w:szCs w:val="24"/>
          <w:shd w:val="clear" w:color="auto" w:fill="FFFFFF"/>
        </w:rPr>
        <w:t xml:space="preserve">omen’s </w:t>
      </w:r>
      <w:r w:rsidR="00E7710F" w:rsidRPr="00233902">
        <w:rPr>
          <w:rFonts w:ascii="Arial" w:hAnsi="Arial" w:cs="Arial"/>
          <w:sz w:val="24"/>
          <w:szCs w:val="24"/>
          <w:shd w:val="clear" w:color="auto" w:fill="FFFFFF"/>
        </w:rPr>
        <w:t>H</w:t>
      </w:r>
      <w:r w:rsidRPr="00233902">
        <w:rPr>
          <w:rFonts w:ascii="Arial" w:hAnsi="Arial" w:cs="Arial"/>
          <w:sz w:val="24"/>
          <w:szCs w:val="24"/>
          <w:shd w:val="clear" w:color="auto" w:fill="FFFFFF"/>
        </w:rPr>
        <w:t>ealth programme</w:t>
      </w:r>
    </w:p>
    <w:p w:rsidR="00E620D7" w:rsidRPr="00233902" w:rsidRDefault="00E620D7" w:rsidP="00E620D7">
      <w:pPr>
        <w:spacing w:line="240" w:lineRule="auto"/>
        <w:rPr>
          <w:rFonts w:ascii="Arial" w:hAnsi="Arial" w:cs="Arial"/>
          <w:sz w:val="24"/>
          <w:szCs w:val="24"/>
          <w:shd w:val="clear" w:color="auto" w:fill="FFFFFF"/>
        </w:rPr>
      </w:pPr>
      <w:r w:rsidRPr="00233902">
        <w:rPr>
          <w:rFonts w:ascii="Arial" w:hAnsi="Arial" w:cs="Arial"/>
          <w:sz w:val="24"/>
          <w:szCs w:val="24"/>
          <w:shd w:val="clear" w:color="auto" w:fill="FFFFFF"/>
        </w:rPr>
        <w:t>(insert diagram)</w:t>
      </w:r>
    </w:p>
    <w:p w:rsidR="00B41FF2" w:rsidRPr="00233902" w:rsidRDefault="00B41FF2">
      <w:pPr>
        <w:rPr>
          <w:rFonts w:ascii="Arial" w:hAnsi="Arial" w:cs="Arial"/>
          <w:b/>
          <w:bCs/>
          <w:color w:val="FF0000"/>
          <w:sz w:val="24"/>
          <w:szCs w:val="24"/>
          <w:shd w:val="clear" w:color="auto" w:fill="FFFFFF"/>
        </w:rPr>
      </w:pPr>
    </w:p>
    <w:p w:rsidR="005C7E35" w:rsidRPr="00233902" w:rsidRDefault="005C7E35" w:rsidP="00712729">
      <w:pPr>
        <w:pStyle w:val="ListParagraph"/>
        <w:numPr>
          <w:ilvl w:val="0"/>
          <w:numId w:val="1"/>
        </w:numPr>
        <w:rPr>
          <w:rFonts w:ascii="Arial" w:hAnsi="Arial" w:cs="Arial"/>
          <w:b/>
          <w:bCs/>
          <w:color w:val="1F3864" w:themeColor="accent1" w:themeShade="80"/>
          <w:sz w:val="24"/>
          <w:szCs w:val="24"/>
          <w:shd w:val="clear" w:color="auto" w:fill="FFFFFF"/>
        </w:rPr>
      </w:pPr>
      <w:r w:rsidRPr="00233902">
        <w:rPr>
          <w:rFonts w:ascii="Arial" w:hAnsi="Arial" w:cs="Arial"/>
          <w:b/>
          <w:bCs/>
          <w:color w:val="1F3864" w:themeColor="accent1" w:themeShade="80"/>
          <w:sz w:val="24"/>
          <w:szCs w:val="24"/>
          <w:shd w:val="clear" w:color="auto" w:fill="FFFFFF"/>
        </w:rPr>
        <w:t>Memberships</w:t>
      </w:r>
    </w:p>
    <w:p w:rsidR="00712729" w:rsidRPr="00233902" w:rsidRDefault="00712729" w:rsidP="00712729">
      <w:pPr>
        <w:rPr>
          <w:rFonts w:ascii="Arial" w:hAnsi="Arial" w:cs="Arial"/>
          <w:sz w:val="24"/>
          <w:szCs w:val="24"/>
          <w:shd w:val="clear" w:color="auto" w:fill="FFFFFF"/>
        </w:rPr>
      </w:pPr>
      <w:r w:rsidRPr="00233902">
        <w:rPr>
          <w:rFonts w:ascii="Arial" w:hAnsi="Arial" w:cs="Arial"/>
          <w:sz w:val="24"/>
          <w:szCs w:val="24"/>
          <w:shd w:val="clear" w:color="auto" w:fill="FFFFFF"/>
        </w:rPr>
        <w:t>The membership include</w:t>
      </w:r>
      <w:r w:rsidR="001A7BA0" w:rsidRPr="00233902">
        <w:rPr>
          <w:rFonts w:ascii="Arial" w:hAnsi="Arial" w:cs="Arial"/>
          <w:sz w:val="24"/>
          <w:szCs w:val="24"/>
          <w:shd w:val="clear" w:color="auto" w:fill="FFFFFF"/>
        </w:rPr>
        <w:t>s</w:t>
      </w:r>
      <w:r w:rsidRPr="00233902">
        <w:rPr>
          <w:rFonts w:ascii="Arial" w:hAnsi="Arial" w:cs="Arial"/>
          <w:sz w:val="24"/>
          <w:szCs w:val="24"/>
          <w:shd w:val="clear" w:color="auto" w:fill="FFFFFF"/>
        </w:rPr>
        <w:t>:</w:t>
      </w:r>
    </w:p>
    <w:p w:rsidR="005C7E35" w:rsidRPr="00233902" w:rsidRDefault="005C7E35" w:rsidP="0046015C">
      <w:pPr>
        <w:pStyle w:val="ListParagraph"/>
        <w:numPr>
          <w:ilvl w:val="0"/>
          <w:numId w:val="9"/>
        </w:numPr>
        <w:rPr>
          <w:rFonts w:ascii="Arial" w:hAnsi="Arial" w:cs="Arial"/>
          <w:color w:val="0B0C0C"/>
          <w:sz w:val="24"/>
          <w:szCs w:val="24"/>
          <w:shd w:val="clear" w:color="auto" w:fill="FFFFFF"/>
        </w:rPr>
      </w:pPr>
      <w:r w:rsidRPr="00233902">
        <w:rPr>
          <w:rFonts w:ascii="Arial" w:hAnsi="Arial" w:cs="Arial"/>
          <w:color w:val="0B0C0C"/>
          <w:sz w:val="24"/>
          <w:szCs w:val="24"/>
          <w:shd w:val="clear" w:color="auto" w:fill="FFFFFF"/>
        </w:rPr>
        <w:t xml:space="preserve">L&amp;SC ICB Director Of </w:t>
      </w:r>
      <w:r w:rsidR="00EF1A65" w:rsidRPr="00233902">
        <w:rPr>
          <w:rFonts w:ascii="Arial" w:hAnsi="Arial" w:cs="Arial"/>
          <w:color w:val="0B0C0C"/>
          <w:sz w:val="24"/>
          <w:szCs w:val="24"/>
          <w:shd w:val="clear" w:color="auto" w:fill="FFFFFF"/>
        </w:rPr>
        <w:t xml:space="preserve">Women, </w:t>
      </w:r>
      <w:r w:rsidRPr="00233902">
        <w:rPr>
          <w:rFonts w:ascii="Arial" w:hAnsi="Arial" w:cs="Arial"/>
          <w:color w:val="0B0C0C"/>
          <w:sz w:val="24"/>
          <w:szCs w:val="24"/>
          <w:shd w:val="clear" w:color="auto" w:fill="FFFFFF"/>
        </w:rPr>
        <w:t xml:space="preserve">Children, </w:t>
      </w:r>
      <w:r w:rsidR="00EF1A65" w:rsidRPr="00233902">
        <w:rPr>
          <w:rFonts w:ascii="Arial" w:hAnsi="Arial" w:cs="Arial"/>
          <w:color w:val="0B0C0C"/>
          <w:sz w:val="24"/>
          <w:szCs w:val="24"/>
          <w:shd w:val="clear" w:color="auto" w:fill="FFFFFF"/>
        </w:rPr>
        <w:t>Y</w:t>
      </w:r>
      <w:r w:rsidRPr="00233902">
        <w:rPr>
          <w:rFonts w:ascii="Arial" w:hAnsi="Arial" w:cs="Arial"/>
          <w:color w:val="0B0C0C"/>
          <w:sz w:val="24"/>
          <w:szCs w:val="24"/>
          <w:shd w:val="clear" w:color="auto" w:fill="FFFFFF"/>
        </w:rPr>
        <w:t xml:space="preserve">oung </w:t>
      </w:r>
      <w:r w:rsidR="00EF1A65" w:rsidRPr="00233902">
        <w:rPr>
          <w:rFonts w:ascii="Arial" w:hAnsi="Arial" w:cs="Arial"/>
          <w:color w:val="0B0C0C"/>
          <w:sz w:val="24"/>
          <w:szCs w:val="24"/>
          <w:shd w:val="clear" w:color="auto" w:fill="FFFFFF"/>
        </w:rPr>
        <w:t>P</w:t>
      </w:r>
      <w:r w:rsidRPr="00233902">
        <w:rPr>
          <w:rFonts w:ascii="Arial" w:hAnsi="Arial" w:cs="Arial"/>
          <w:color w:val="0B0C0C"/>
          <w:sz w:val="24"/>
          <w:szCs w:val="24"/>
          <w:shd w:val="clear" w:color="auto" w:fill="FFFFFF"/>
        </w:rPr>
        <w:t>eople</w:t>
      </w:r>
      <w:r w:rsidR="00EF1A65" w:rsidRPr="00233902">
        <w:rPr>
          <w:rFonts w:ascii="Arial" w:hAnsi="Arial" w:cs="Arial"/>
          <w:color w:val="0B0C0C"/>
          <w:sz w:val="24"/>
          <w:szCs w:val="24"/>
          <w:shd w:val="clear" w:color="auto" w:fill="FFFFFF"/>
        </w:rPr>
        <w:t xml:space="preserve"> and</w:t>
      </w:r>
      <w:r w:rsidRPr="00233902">
        <w:rPr>
          <w:rFonts w:ascii="Arial" w:hAnsi="Arial" w:cs="Arial"/>
          <w:color w:val="0B0C0C"/>
          <w:sz w:val="24"/>
          <w:szCs w:val="24"/>
          <w:shd w:val="clear" w:color="auto" w:fill="FFFFFF"/>
        </w:rPr>
        <w:t xml:space="preserve"> </w:t>
      </w:r>
      <w:r w:rsidR="00EF1A65" w:rsidRPr="00233902">
        <w:rPr>
          <w:rFonts w:ascii="Arial" w:hAnsi="Arial" w:cs="Arial"/>
          <w:color w:val="0B0C0C"/>
          <w:sz w:val="24"/>
          <w:szCs w:val="24"/>
          <w:shd w:val="clear" w:color="auto" w:fill="FFFFFF"/>
        </w:rPr>
        <w:t>M</w:t>
      </w:r>
      <w:r w:rsidRPr="00233902">
        <w:rPr>
          <w:rFonts w:ascii="Arial" w:hAnsi="Arial" w:cs="Arial"/>
          <w:color w:val="0B0C0C"/>
          <w:sz w:val="24"/>
          <w:szCs w:val="24"/>
          <w:shd w:val="clear" w:color="auto" w:fill="FFFFFF"/>
        </w:rPr>
        <w:t>aternit</w:t>
      </w:r>
      <w:r w:rsidR="00EF1A65" w:rsidRPr="00233902">
        <w:rPr>
          <w:rFonts w:ascii="Arial" w:hAnsi="Arial" w:cs="Arial"/>
          <w:color w:val="0B0C0C"/>
          <w:sz w:val="24"/>
          <w:szCs w:val="24"/>
          <w:shd w:val="clear" w:color="auto" w:fill="FFFFFF"/>
        </w:rPr>
        <w:t>y (Chair)</w:t>
      </w:r>
    </w:p>
    <w:p w:rsidR="005C7E35" w:rsidRPr="00233902" w:rsidRDefault="005C7E35" w:rsidP="0046015C">
      <w:pPr>
        <w:pStyle w:val="ListParagraph"/>
        <w:numPr>
          <w:ilvl w:val="0"/>
          <w:numId w:val="9"/>
        </w:numPr>
        <w:rPr>
          <w:rFonts w:ascii="Arial" w:hAnsi="Arial" w:cs="Arial"/>
          <w:color w:val="0B0C0C"/>
          <w:sz w:val="24"/>
          <w:szCs w:val="24"/>
          <w:shd w:val="clear" w:color="auto" w:fill="FFFFFF"/>
        </w:rPr>
      </w:pPr>
      <w:r w:rsidRPr="00233902">
        <w:rPr>
          <w:rFonts w:ascii="Arial" w:hAnsi="Arial" w:cs="Arial"/>
          <w:color w:val="0B0C0C"/>
          <w:sz w:val="24"/>
          <w:szCs w:val="24"/>
          <w:shd w:val="clear" w:color="auto" w:fill="FFFFFF"/>
        </w:rPr>
        <w:t>L&amp;SC ICB Associate Director, Maternity, Newborn and Women’s Health</w:t>
      </w:r>
      <w:r w:rsidR="00EF1A65" w:rsidRPr="00233902">
        <w:rPr>
          <w:rFonts w:ascii="Arial" w:hAnsi="Arial" w:cs="Arial"/>
          <w:color w:val="0B0C0C"/>
          <w:sz w:val="24"/>
          <w:szCs w:val="24"/>
          <w:shd w:val="clear" w:color="auto" w:fill="FFFFFF"/>
        </w:rPr>
        <w:t xml:space="preserve"> (Deputy Chair)</w:t>
      </w:r>
    </w:p>
    <w:p w:rsidR="005C7E35" w:rsidRPr="00233902" w:rsidRDefault="00944FF0" w:rsidP="0046015C">
      <w:pPr>
        <w:pStyle w:val="ListParagraph"/>
        <w:numPr>
          <w:ilvl w:val="0"/>
          <w:numId w:val="9"/>
        </w:numPr>
        <w:rPr>
          <w:rFonts w:ascii="Arial" w:hAnsi="Arial" w:cs="Arial"/>
          <w:color w:val="0B0C0C"/>
          <w:sz w:val="24"/>
          <w:szCs w:val="24"/>
          <w:shd w:val="clear" w:color="auto" w:fill="FFFFFF"/>
        </w:rPr>
      </w:pPr>
      <w:r w:rsidRPr="00233902">
        <w:rPr>
          <w:rFonts w:ascii="Arial" w:hAnsi="Arial" w:cs="Arial"/>
          <w:color w:val="0B0C0C"/>
          <w:sz w:val="24"/>
          <w:szCs w:val="24"/>
          <w:shd w:val="clear" w:color="auto" w:fill="FFFFFF"/>
        </w:rPr>
        <w:t xml:space="preserve">L&amp;SC </w:t>
      </w:r>
      <w:r w:rsidR="005C7E35" w:rsidRPr="00233902">
        <w:rPr>
          <w:rFonts w:ascii="Arial" w:hAnsi="Arial" w:cs="Arial"/>
          <w:color w:val="0B0C0C"/>
          <w:sz w:val="24"/>
          <w:szCs w:val="24"/>
          <w:shd w:val="clear" w:color="auto" w:fill="FFFFFF"/>
        </w:rPr>
        <w:t xml:space="preserve">ICB Womens Health </w:t>
      </w:r>
      <w:r w:rsidR="00EF1A65" w:rsidRPr="00233902">
        <w:rPr>
          <w:rFonts w:ascii="Arial" w:hAnsi="Arial" w:cs="Arial"/>
          <w:color w:val="0B0C0C"/>
          <w:sz w:val="24"/>
          <w:szCs w:val="24"/>
          <w:shd w:val="clear" w:color="auto" w:fill="FFFFFF"/>
        </w:rPr>
        <w:t>C</w:t>
      </w:r>
      <w:r w:rsidR="005C7E35" w:rsidRPr="00233902">
        <w:rPr>
          <w:rFonts w:ascii="Arial" w:hAnsi="Arial" w:cs="Arial"/>
          <w:color w:val="0B0C0C"/>
          <w:sz w:val="24"/>
          <w:szCs w:val="24"/>
          <w:shd w:val="clear" w:color="auto" w:fill="FFFFFF"/>
        </w:rPr>
        <w:t xml:space="preserve">linical </w:t>
      </w:r>
      <w:r w:rsidR="00EF1A65" w:rsidRPr="00233902">
        <w:rPr>
          <w:rFonts w:ascii="Arial" w:hAnsi="Arial" w:cs="Arial"/>
          <w:color w:val="0B0C0C"/>
          <w:sz w:val="24"/>
          <w:szCs w:val="24"/>
          <w:shd w:val="clear" w:color="auto" w:fill="FFFFFF"/>
        </w:rPr>
        <w:t>L</w:t>
      </w:r>
      <w:r w:rsidR="005C7E35" w:rsidRPr="00233902">
        <w:rPr>
          <w:rFonts w:ascii="Arial" w:hAnsi="Arial" w:cs="Arial"/>
          <w:color w:val="0B0C0C"/>
          <w:sz w:val="24"/>
          <w:szCs w:val="24"/>
          <w:shd w:val="clear" w:color="auto" w:fill="FFFFFF"/>
        </w:rPr>
        <w:t>ead</w:t>
      </w:r>
    </w:p>
    <w:p w:rsidR="00944FF0" w:rsidRPr="00233902" w:rsidRDefault="00944FF0" w:rsidP="0046015C">
      <w:pPr>
        <w:pStyle w:val="ListParagraph"/>
        <w:numPr>
          <w:ilvl w:val="0"/>
          <w:numId w:val="9"/>
        </w:numPr>
        <w:rPr>
          <w:rFonts w:ascii="Arial" w:hAnsi="Arial" w:cs="Arial"/>
          <w:color w:val="0B0C0C"/>
          <w:sz w:val="24"/>
          <w:szCs w:val="24"/>
          <w:shd w:val="clear" w:color="auto" w:fill="FFFFFF"/>
        </w:rPr>
      </w:pPr>
      <w:r w:rsidRPr="00233902">
        <w:rPr>
          <w:rFonts w:ascii="Arial" w:hAnsi="Arial" w:cs="Arial"/>
          <w:color w:val="0B0C0C"/>
          <w:sz w:val="24"/>
          <w:szCs w:val="24"/>
          <w:shd w:val="clear" w:color="auto" w:fill="FFFFFF"/>
        </w:rPr>
        <w:t xml:space="preserve">L&amp;SC ICB Women’s </w:t>
      </w:r>
      <w:r w:rsidR="00EF1A65" w:rsidRPr="00233902">
        <w:rPr>
          <w:rFonts w:ascii="Arial" w:hAnsi="Arial" w:cs="Arial"/>
          <w:color w:val="0B0C0C"/>
          <w:sz w:val="24"/>
          <w:szCs w:val="24"/>
          <w:shd w:val="clear" w:color="auto" w:fill="FFFFFF"/>
        </w:rPr>
        <w:t>H</w:t>
      </w:r>
      <w:r w:rsidRPr="00233902">
        <w:rPr>
          <w:rFonts w:ascii="Arial" w:hAnsi="Arial" w:cs="Arial"/>
          <w:color w:val="0B0C0C"/>
          <w:sz w:val="24"/>
          <w:szCs w:val="24"/>
          <w:shd w:val="clear" w:color="auto" w:fill="FFFFFF"/>
        </w:rPr>
        <w:t>ealth Delivery Manager</w:t>
      </w:r>
    </w:p>
    <w:p w:rsidR="00944FF0" w:rsidRPr="00233902" w:rsidRDefault="00944FF0" w:rsidP="0046015C">
      <w:pPr>
        <w:pStyle w:val="ListParagraph"/>
        <w:numPr>
          <w:ilvl w:val="0"/>
          <w:numId w:val="9"/>
        </w:numPr>
        <w:rPr>
          <w:rFonts w:ascii="Arial" w:hAnsi="Arial" w:cs="Arial"/>
          <w:color w:val="0B0C0C"/>
          <w:sz w:val="24"/>
          <w:szCs w:val="24"/>
          <w:shd w:val="clear" w:color="auto" w:fill="FFFFFF"/>
        </w:rPr>
      </w:pPr>
      <w:r w:rsidRPr="00233902">
        <w:rPr>
          <w:rFonts w:ascii="Arial" w:hAnsi="Arial" w:cs="Arial"/>
          <w:color w:val="0B0C0C"/>
          <w:sz w:val="24"/>
          <w:szCs w:val="24"/>
          <w:shd w:val="clear" w:color="auto" w:fill="FFFFFF"/>
        </w:rPr>
        <w:t>L&amp;SC ICB Head of Service for Planned Care</w:t>
      </w:r>
    </w:p>
    <w:p w:rsidR="00843CA7" w:rsidRPr="00233902" w:rsidRDefault="00843CA7" w:rsidP="0046015C">
      <w:pPr>
        <w:pStyle w:val="ListParagraph"/>
        <w:numPr>
          <w:ilvl w:val="0"/>
          <w:numId w:val="9"/>
        </w:numPr>
        <w:rPr>
          <w:rFonts w:ascii="Arial" w:hAnsi="Arial" w:cs="Arial"/>
          <w:color w:val="0B0C0C"/>
          <w:sz w:val="24"/>
          <w:szCs w:val="24"/>
          <w:shd w:val="clear" w:color="auto" w:fill="FFFFFF"/>
        </w:rPr>
      </w:pPr>
      <w:r w:rsidRPr="00233902">
        <w:rPr>
          <w:rFonts w:ascii="Arial" w:hAnsi="Arial" w:cs="Arial"/>
          <w:color w:val="0B0C0C"/>
          <w:sz w:val="24"/>
          <w:szCs w:val="24"/>
          <w:shd w:val="clear" w:color="auto" w:fill="FFFFFF"/>
        </w:rPr>
        <w:t>L&amp;SC ICB Senior Population Health Manager</w:t>
      </w:r>
      <w:r w:rsidR="00EF1A65" w:rsidRPr="00233902">
        <w:rPr>
          <w:rFonts w:ascii="Arial" w:hAnsi="Arial" w:cs="Arial"/>
          <w:color w:val="0B0C0C"/>
          <w:sz w:val="24"/>
          <w:szCs w:val="24"/>
          <w:shd w:val="clear" w:color="auto" w:fill="FFFFFF"/>
        </w:rPr>
        <w:t>s</w:t>
      </w:r>
    </w:p>
    <w:p w:rsidR="00944FF0" w:rsidRPr="00233902" w:rsidRDefault="00944FF0" w:rsidP="0046015C">
      <w:pPr>
        <w:pStyle w:val="ListParagraph"/>
        <w:numPr>
          <w:ilvl w:val="0"/>
          <w:numId w:val="9"/>
        </w:numPr>
        <w:rPr>
          <w:rFonts w:ascii="Arial" w:hAnsi="Arial" w:cs="Arial"/>
          <w:color w:val="0B0C0C"/>
          <w:sz w:val="24"/>
          <w:szCs w:val="24"/>
          <w:shd w:val="clear" w:color="auto" w:fill="FFFFFF"/>
        </w:rPr>
      </w:pPr>
      <w:r w:rsidRPr="00233902">
        <w:rPr>
          <w:rFonts w:ascii="Arial" w:hAnsi="Arial" w:cs="Arial"/>
          <w:color w:val="0B0C0C"/>
          <w:sz w:val="24"/>
          <w:szCs w:val="24"/>
          <w:shd w:val="clear" w:color="auto" w:fill="FFFFFF"/>
        </w:rPr>
        <w:t>L&amp;SC ICB Director</w:t>
      </w:r>
      <w:r w:rsidR="0081702A" w:rsidRPr="00233902">
        <w:rPr>
          <w:rFonts w:ascii="Arial" w:hAnsi="Arial" w:cs="Arial"/>
          <w:color w:val="0B0C0C"/>
          <w:sz w:val="24"/>
          <w:szCs w:val="24"/>
          <w:shd w:val="clear" w:color="auto" w:fill="FFFFFF"/>
        </w:rPr>
        <w:t>s</w:t>
      </w:r>
      <w:r w:rsidRPr="00233902">
        <w:rPr>
          <w:rFonts w:ascii="Arial" w:hAnsi="Arial" w:cs="Arial"/>
          <w:color w:val="0B0C0C"/>
          <w:sz w:val="24"/>
          <w:szCs w:val="24"/>
          <w:shd w:val="clear" w:color="auto" w:fill="FFFFFF"/>
        </w:rPr>
        <w:t xml:space="preserve"> of </w:t>
      </w:r>
      <w:r w:rsidR="00EF1A65" w:rsidRPr="00233902">
        <w:rPr>
          <w:rFonts w:ascii="Arial" w:hAnsi="Arial" w:cs="Arial"/>
          <w:color w:val="0B0C0C"/>
          <w:sz w:val="24"/>
          <w:szCs w:val="24"/>
          <w:shd w:val="clear" w:color="auto" w:fill="FFFFFF"/>
        </w:rPr>
        <w:t>H</w:t>
      </w:r>
      <w:r w:rsidRPr="00233902">
        <w:rPr>
          <w:rFonts w:ascii="Arial" w:hAnsi="Arial" w:cs="Arial"/>
          <w:color w:val="0B0C0C"/>
          <w:sz w:val="24"/>
          <w:szCs w:val="24"/>
          <w:shd w:val="clear" w:color="auto" w:fill="FFFFFF"/>
        </w:rPr>
        <w:t xml:space="preserve">ealth and </w:t>
      </w:r>
      <w:r w:rsidR="00EF1A65" w:rsidRPr="00233902">
        <w:rPr>
          <w:rFonts w:ascii="Arial" w:hAnsi="Arial" w:cs="Arial"/>
          <w:color w:val="0B0C0C"/>
          <w:sz w:val="24"/>
          <w:szCs w:val="24"/>
          <w:shd w:val="clear" w:color="auto" w:fill="FFFFFF"/>
        </w:rPr>
        <w:t>C</w:t>
      </w:r>
      <w:r w:rsidRPr="00233902">
        <w:rPr>
          <w:rFonts w:ascii="Arial" w:hAnsi="Arial" w:cs="Arial"/>
          <w:color w:val="0B0C0C"/>
          <w:sz w:val="24"/>
          <w:szCs w:val="24"/>
          <w:shd w:val="clear" w:color="auto" w:fill="FFFFFF"/>
        </w:rPr>
        <w:t xml:space="preserve">are </w:t>
      </w:r>
      <w:r w:rsidR="0081702A" w:rsidRPr="00233902">
        <w:rPr>
          <w:rFonts w:ascii="Arial" w:hAnsi="Arial" w:cs="Arial"/>
          <w:color w:val="0B0C0C"/>
          <w:sz w:val="24"/>
          <w:szCs w:val="24"/>
          <w:shd w:val="clear" w:color="auto" w:fill="FFFFFF"/>
        </w:rPr>
        <w:t>I</w:t>
      </w:r>
      <w:r w:rsidRPr="00233902">
        <w:rPr>
          <w:rFonts w:ascii="Arial" w:hAnsi="Arial" w:cs="Arial"/>
          <w:color w:val="0B0C0C"/>
          <w:sz w:val="24"/>
          <w:szCs w:val="24"/>
          <w:shd w:val="clear" w:color="auto" w:fill="FFFFFF"/>
        </w:rPr>
        <w:t xml:space="preserve">ntegration </w:t>
      </w:r>
    </w:p>
    <w:p w:rsidR="00944FF0" w:rsidRPr="00233902" w:rsidRDefault="00944FF0" w:rsidP="0046015C">
      <w:pPr>
        <w:pStyle w:val="ListParagraph"/>
        <w:numPr>
          <w:ilvl w:val="0"/>
          <w:numId w:val="9"/>
        </w:numPr>
        <w:rPr>
          <w:rFonts w:ascii="Arial" w:hAnsi="Arial" w:cs="Arial"/>
          <w:color w:val="0B0C0C"/>
          <w:sz w:val="24"/>
          <w:szCs w:val="24"/>
          <w:shd w:val="clear" w:color="auto" w:fill="FFFFFF"/>
        </w:rPr>
      </w:pPr>
      <w:r w:rsidRPr="00233902">
        <w:rPr>
          <w:rFonts w:ascii="Arial" w:hAnsi="Arial" w:cs="Arial"/>
          <w:color w:val="0B0C0C"/>
          <w:sz w:val="24"/>
          <w:szCs w:val="24"/>
          <w:shd w:val="clear" w:color="auto" w:fill="FFFFFF"/>
        </w:rPr>
        <w:t xml:space="preserve">L&amp;SC ICB Integration Place </w:t>
      </w:r>
      <w:r w:rsidR="0081702A" w:rsidRPr="00233902">
        <w:rPr>
          <w:rFonts w:ascii="Arial" w:hAnsi="Arial" w:cs="Arial"/>
          <w:color w:val="0B0C0C"/>
          <w:sz w:val="24"/>
          <w:szCs w:val="24"/>
          <w:shd w:val="clear" w:color="auto" w:fill="FFFFFF"/>
        </w:rPr>
        <w:t>L</w:t>
      </w:r>
      <w:r w:rsidRPr="00233902">
        <w:rPr>
          <w:rFonts w:ascii="Arial" w:hAnsi="Arial" w:cs="Arial"/>
          <w:color w:val="0B0C0C"/>
          <w:sz w:val="24"/>
          <w:szCs w:val="24"/>
          <w:shd w:val="clear" w:color="auto" w:fill="FFFFFF"/>
        </w:rPr>
        <w:t>eads</w:t>
      </w:r>
    </w:p>
    <w:p w:rsidR="00843CA7" w:rsidRPr="00233902" w:rsidRDefault="00843CA7" w:rsidP="0046015C">
      <w:pPr>
        <w:pStyle w:val="ListParagraph"/>
        <w:numPr>
          <w:ilvl w:val="0"/>
          <w:numId w:val="9"/>
        </w:numPr>
        <w:rPr>
          <w:rFonts w:ascii="Arial" w:hAnsi="Arial" w:cs="Arial"/>
          <w:color w:val="0B0C0C"/>
          <w:sz w:val="24"/>
          <w:szCs w:val="24"/>
          <w:shd w:val="clear" w:color="auto" w:fill="FFFFFF"/>
        </w:rPr>
      </w:pPr>
      <w:r w:rsidRPr="00233902">
        <w:rPr>
          <w:rFonts w:ascii="Arial" w:hAnsi="Arial" w:cs="Arial"/>
          <w:color w:val="0B0C0C"/>
          <w:sz w:val="24"/>
          <w:szCs w:val="24"/>
          <w:shd w:val="clear" w:color="auto" w:fill="FFFFFF"/>
        </w:rPr>
        <w:t xml:space="preserve">L&amp;SC ICB </w:t>
      </w:r>
      <w:r w:rsidR="0081702A" w:rsidRPr="00233902">
        <w:rPr>
          <w:rFonts w:ascii="Arial" w:hAnsi="Arial" w:cs="Arial"/>
          <w:color w:val="0B0C0C"/>
          <w:sz w:val="24"/>
          <w:szCs w:val="24"/>
          <w:shd w:val="clear" w:color="auto" w:fill="FFFFFF"/>
        </w:rPr>
        <w:t>P</w:t>
      </w:r>
      <w:r w:rsidRPr="00233902">
        <w:rPr>
          <w:rFonts w:ascii="Arial" w:hAnsi="Arial" w:cs="Arial"/>
          <w:color w:val="0B0C0C"/>
          <w:sz w:val="24"/>
          <w:szCs w:val="24"/>
          <w:shd w:val="clear" w:color="auto" w:fill="FFFFFF"/>
        </w:rPr>
        <w:t xml:space="preserve">rogramme </w:t>
      </w:r>
      <w:r w:rsidR="0081702A" w:rsidRPr="00233902">
        <w:rPr>
          <w:rFonts w:ascii="Arial" w:hAnsi="Arial" w:cs="Arial"/>
          <w:color w:val="0B0C0C"/>
          <w:sz w:val="24"/>
          <w:szCs w:val="24"/>
          <w:shd w:val="clear" w:color="auto" w:fill="FFFFFF"/>
        </w:rPr>
        <w:t>M</w:t>
      </w:r>
      <w:r w:rsidRPr="00233902">
        <w:rPr>
          <w:rFonts w:ascii="Arial" w:hAnsi="Arial" w:cs="Arial"/>
          <w:color w:val="0B0C0C"/>
          <w:sz w:val="24"/>
          <w:szCs w:val="24"/>
          <w:shd w:val="clear" w:color="auto" w:fill="FFFFFF"/>
        </w:rPr>
        <w:t xml:space="preserve">anager for </w:t>
      </w:r>
      <w:r w:rsidR="0081702A" w:rsidRPr="00233902">
        <w:rPr>
          <w:rFonts w:ascii="Arial" w:hAnsi="Arial" w:cs="Arial"/>
          <w:color w:val="0B0C0C"/>
          <w:sz w:val="24"/>
          <w:szCs w:val="24"/>
          <w:shd w:val="clear" w:color="auto" w:fill="FFFFFF"/>
        </w:rPr>
        <w:t>M</w:t>
      </w:r>
      <w:r w:rsidRPr="00233902">
        <w:rPr>
          <w:rFonts w:ascii="Arial" w:hAnsi="Arial" w:cs="Arial"/>
          <w:color w:val="0B0C0C"/>
          <w:sz w:val="24"/>
          <w:szCs w:val="24"/>
          <w:shd w:val="clear" w:color="auto" w:fill="FFFFFF"/>
        </w:rPr>
        <w:t xml:space="preserve">ental </w:t>
      </w:r>
      <w:r w:rsidR="0081702A" w:rsidRPr="00233902">
        <w:rPr>
          <w:rFonts w:ascii="Arial" w:hAnsi="Arial" w:cs="Arial"/>
          <w:color w:val="0B0C0C"/>
          <w:sz w:val="24"/>
          <w:szCs w:val="24"/>
          <w:shd w:val="clear" w:color="auto" w:fill="FFFFFF"/>
        </w:rPr>
        <w:t>H</w:t>
      </w:r>
      <w:r w:rsidRPr="00233902">
        <w:rPr>
          <w:rFonts w:ascii="Arial" w:hAnsi="Arial" w:cs="Arial"/>
          <w:color w:val="0B0C0C"/>
          <w:sz w:val="24"/>
          <w:szCs w:val="24"/>
          <w:shd w:val="clear" w:color="auto" w:fill="FFFFFF"/>
        </w:rPr>
        <w:t xml:space="preserve">ealth </w:t>
      </w:r>
      <w:r w:rsidR="0081702A" w:rsidRPr="00233902">
        <w:rPr>
          <w:rFonts w:ascii="Arial" w:hAnsi="Arial" w:cs="Arial"/>
          <w:color w:val="0B0C0C"/>
          <w:sz w:val="24"/>
          <w:szCs w:val="24"/>
          <w:shd w:val="clear" w:color="auto" w:fill="FFFFFF"/>
        </w:rPr>
        <w:t>T</w:t>
      </w:r>
      <w:r w:rsidRPr="00233902">
        <w:rPr>
          <w:rFonts w:ascii="Arial" w:hAnsi="Arial" w:cs="Arial"/>
          <w:color w:val="0B0C0C"/>
          <w:sz w:val="24"/>
          <w:szCs w:val="24"/>
          <w:shd w:val="clear" w:color="auto" w:fill="FFFFFF"/>
        </w:rPr>
        <w:t>ransformation</w:t>
      </w:r>
    </w:p>
    <w:p w:rsidR="00843CA7" w:rsidRPr="00233902" w:rsidRDefault="00843CA7" w:rsidP="0046015C">
      <w:pPr>
        <w:pStyle w:val="ListParagraph"/>
        <w:numPr>
          <w:ilvl w:val="0"/>
          <w:numId w:val="9"/>
        </w:numPr>
        <w:rPr>
          <w:rFonts w:ascii="Arial" w:hAnsi="Arial" w:cs="Arial"/>
          <w:color w:val="0B0C0C"/>
          <w:sz w:val="24"/>
          <w:szCs w:val="24"/>
          <w:shd w:val="clear" w:color="auto" w:fill="FFFFFF"/>
        </w:rPr>
      </w:pPr>
      <w:r w:rsidRPr="00233902">
        <w:rPr>
          <w:rFonts w:ascii="Arial" w:hAnsi="Arial" w:cs="Arial"/>
          <w:color w:val="0B0C0C"/>
          <w:sz w:val="24"/>
          <w:szCs w:val="24"/>
          <w:shd w:val="clear" w:color="auto" w:fill="FFFFFF"/>
        </w:rPr>
        <w:t xml:space="preserve">L&amp;SC ICB </w:t>
      </w:r>
      <w:r w:rsidR="0081702A" w:rsidRPr="00233902">
        <w:rPr>
          <w:rFonts w:ascii="Arial" w:hAnsi="Arial" w:cs="Arial"/>
          <w:color w:val="0B0C0C"/>
          <w:sz w:val="24"/>
          <w:szCs w:val="24"/>
          <w:shd w:val="clear" w:color="auto" w:fill="FFFFFF"/>
        </w:rPr>
        <w:t>P</w:t>
      </w:r>
      <w:r w:rsidRPr="00233902">
        <w:rPr>
          <w:rFonts w:ascii="Arial" w:hAnsi="Arial" w:cs="Arial"/>
          <w:color w:val="0B0C0C"/>
          <w:sz w:val="24"/>
          <w:szCs w:val="24"/>
          <w:shd w:val="clear" w:color="auto" w:fill="FFFFFF"/>
        </w:rPr>
        <w:t xml:space="preserve">erformance </w:t>
      </w:r>
      <w:r w:rsidR="0081702A" w:rsidRPr="00233902">
        <w:rPr>
          <w:rFonts w:ascii="Arial" w:hAnsi="Arial" w:cs="Arial"/>
          <w:color w:val="0B0C0C"/>
          <w:sz w:val="24"/>
          <w:szCs w:val="24"/>
          <w:shd w:val="clear" w:color="auto" w:fill="FFFFFF"/>
        </w:rPr>
        <w:t>L</w:t>
      </w:r>
      <w:r w:rsidRPr="00233902">
        <w:rPr>
          <w:rFonts w:ascii="Arial" w:hAnsi="Arial" w:cs="Arial"/>
          <w:color w:val="0B0C0C"/>
          <w:sz w:val="24"/>
          <w:szCs w:val="24"/>
          <w:shd w:val="clear" w:color="auto" w:fill="FFFFFF"/>
        </w:rPr>
        <w:t>ead</w:t>
      </w:r>
    </w:p>
    <w:p w:rsidR="00660AC1" w:rsidRPr="00233902" w:rsidRDefault="000C5CF3" w:rsidP="0046015C">
      <w:pPr>
        <w:pStyle w:val="ListParagraph"/>
        <w:numPr>
          <w:ilvl w:val="0"/>
          <w:numId w:val="9"/>
        </w:numPr>
        <w:rPr>
          <w:rFonts w:ascii="Arial" w:hAnsi="Arial" w:cs="Arial"/>
          <w:color w:val="0B0C0C"/>
          <w:sz w:val="24"/>
          <w:szCs w:val="24"/>
          <w:shd w:val="clear" w:color="auto" w:fill="FFFFFF"/>
        </w:rPr>
      </w:pPr>
      <w:r w:rsidRPr="00233902">
        <w:rPr>
          <w:rFonts w:ascii="Arial" w:hAnsi="Arial" w:cs="Arial"/>
          <w:color w:val="0B0C0C"/>
          <w:sz w:val="24"/>
          <w:szCs w:val="24"/>
          <w:shd w:val="clear" w:color="auto" w:fill="FFFFFF"/>
        </w:rPr>
        <w:t xml:space="preserve">L&amp;SC ICB </w:t>
      </w:r>
      <w:r w:rsidR="008C6DF7" w:rsidRPr="00233902">
        <w:rPr>
          <w:rFonts w:ascii="Arial" w:hAnsi="Arial" w:cs="Arial"/>
          <w:color w:val="0B0C0C"/>
          <w:sz w:val="24"/>
          <w:szCs w:val="24"/>
          <w:shd w:val="clear" w:color="auto" w:fill="FFFFFF"/>
        </w:rPr>
        <w:t xml:space="preserve">Senior Delivery </w:t>
      </w:r>
      <w:r w:rsidR="0081702A" w:rsidRPr="00233902">
        <w:rPr>
          <w:rFonts w:ascii="Arial" w:hAnsi="Arial" w:cs="Arial"/>
          <w:color w:val="0B0C0C"/>
          <w:sz w:val="24"/>
          <w:szCs w:val="24"/>
          <w:shd w:val="clear" w:color="auto" w:fill="FFFFFF"/>
        </w:rPr>
        <w:t>A</w:t>
      </w:r>
      <w:r w:rsidR="008C6DF7" w:rsidRPr="00233902">
        <w:rPr>
          <w:rFonts w:ascii="Arial" w:hAnsi="Arial" w:cs="Arial"/>
          <w:color w:val="0B0C0C"/>
          <w:sz w:val="24"/>
          <w:szCs w:val="24"/>
          <w:shd w:val="clear" w:color="auto" w:fill="FFFFFF"/>
        </w:rPr>
        <w:t xml:space="preserve">ssurance </w:t>
      </w:r>
      <w:r w:rsidR="0081702A" w:rsidRPr="00233902">
        <w:rPr>
          <w:rFonts w:ascii="Arial" w:hAnsi="Arial" w:cs="Arial"/>
          <w:color w:val="0B0C0C"/>
          <w:sz w:val="24"/>
          <w:szCs w:val="24"/>
          <w:shd w:val="clear" w:color="auto" w:fill="FFFFFF"/>
        </w:rPr>
        <w:t>M</w:t>
      </w:r>
      <w:r w:rsidR="008C6DF7" w:rsidRPr="00233902">
        <w:rPr>
          <w:rFonts w:ascii="Arial" w:hAnsi="Arial" w:cs="Arial"/>
          <w:color w:val="0B0C0C"/>
          <w:sz w:val="24"/>
          <w:szCs w:val="24"/>
          <w:shd w:val="clear" w:color="auto" w:fill="FFFFFF"/>
        </w:rPr>
        <w:t>anager</w:t>
      </w:r>
    </w:p>
    <w:p w:rsidR="00944FF0" w:rsidRPr="00233902" w:rsidRDefault="00944FF0" w:rsidP="0046015C">
      <w:pPr>
        <w:pStyle w:val="ListParagraph"/>
        <w:numPr>
          <w:ilvl w:val="0"/>
          <w:numId w:val="9"/>
        </w:numPr>
        <w:rPr>
          <w:rFonts w:ascii="Arial" w:hAnsi="Arial" w:cs="Arial"/>
          <w:color w:val="0B0C0C"/>
          <w:sz w:val="24"/>
          <w:szCs w:val="24"/>
          <w:shd w:val="clear" w:color="auto" w:fill="FFFFFF"/>
        </w:rPr>
      </w:pPr>
      <w:r w:rsidRPr="00233902">
        <w:rPr>
          <w:rFonts w:ascii="Arial" w:hAnsi="Arial" w:cs="Arial"/>
          <w:color w:val="0B0C0C"/>
          <w:sz w:val="24"/>
          <w:szCs w:val="24"/>
          <w:shd w:val="clear" w:color="auto" w:fill="FFFFFF"/>
        </w:rPr>
        <w:t xml:space="preserve">Local Authority Sexual </w:t>
      </w:r>
      <w:r w:rsidR="00843CA7" w:rsidRPr="00233902">
        <w:rPr>
          <w:rFonts w:ascii="Arial" w:hAnsi="Arial" w:cs="Arial"/>
          <w:color w:val="0B0C0C"/>
          <w:sz w:val="24"/>
          <w:szCs w:val="24"/>
          <w:shd w:val="clear" w:color="auto" w:fill="FFFFFF"/>
        </w:rPr>
        <w:t>H</w:t>
      </w:r>
      <w:r w:rsidRPr="00233902">
        <w:rPr>
          <w:rFonts w:ascii="Arial" w:hAnsi="Arial" w:cs="Arial"/>
          <w:color w:val="0B0C0C"/>
          <w:sz w:val="24"/>
          <w:szCs w:val="24"/>
          <w:shd w:val="clear" w:color="auto" w:fill="FFFFFF"/>
        </w:rPr>
        <w:t xml:space="preserve">ealth </w:t>
      </w:r>
      <w:r w:rsidR="00843CA7" w:rsidRPr="00233902">
        <w:rPr>
          <w:rFonts w:ascii="Arial" w:hAnsi="Arial" w:cs="Arial"/>
          <w:color w:val="0B0C0C"/>
          <w:sz w:val="24"/>
          <w:szCs w:val="24"/>
          <w:shd w:val="clear" w:color="auto" w:fill="FFFFFF"/>
        </w:rPr>
        <w:t>Commissioners</w:t>
      </w:r>
    </w:p>
    <w:p w:rsidR="00843CA7" w:rsidRPr="00233902" w:rsidRDefault="0081702A" w:rsidP="0046015C">
      <w:pPr>
        <w:pStyle w:val="ListParagraph"/>
        <w:numPr>
          <w:ilvl w:val="0"/>
          <w:numId w:val="9"/>
        </w:numPr>
        <w:rPr>
          <w:rFonts w:ascii="Arial" w:hAnsi="Arial" w:cs="Arial"/>
          <w:color w:val="0B0C0C"/>
          <w:sz w:val="24"/>
          <w:szCs w:val="24"/>
          <w:shd w:val="clear" w:color="auto" w:fill="FFFFFF"/>
        </w:rPr>
      </w:pPr>
      <w:r w:rsidRPr="00233902">
        <w:rPr>
          <w:rFonts w:ascii="Arial" w:hAnsi="Arial" w:cs="Arial"/>
          <w:color w:val="0B0C0C"/>
          <w:sz w:val="24"/>
          <w:szCs w:val="24"/>
          <w:shd w:val="clear" w:color="auto" w:fill="FFFFFF"/>
        </w:rPr>
        <w:t xml:space="preserve">L&amp;SC </w:t>
      </w:r>
      <w:r w:rsidR="00843CA7" w:rsidRPr="00233902">
        <w:rPr>
          <w:rFonts w:ascii="Arial" w:hAnsi="Arial" w:cs="Arial"/>
          <w:color w:val="0B0C0C"/>
          <w:sz w:val="24"/>
          <w:szCs w:val="24"/>
          <w:shd w:val="clear" w:color="auto" w:fill="FFFFFF"/>
        </w:rPr>
        <w:t xml:space="preserve">Gynaecology </w:t>
      </w:r>
      <w:r w:rsidR="00D11942" w:rsidRPr="00233902">
        <w:rPr>
          <w:rFonts w:ascii="Arial" w:hAnsi="Arial" w:cs="Arial"/>
          <w:color w:val="0B0C0C"/>
          <w:sz w:val="24"/>
          <w:szCs w:val="24"/>
          <w:shd w:val="clear" w:color="auto" w:fill="FFFFFF"/>
        </w:rPr>
        <w:t>N</w:t>
      </w:r>
      <w:r w:rsidR="00843CA7" w:rsidRPr="00233902">
        <w:rPr>
          <w:rFonts w:ascii="Arial" w:hAnsi="Arial" w:cs="Arial"/>
          <w:color w:val="0B0C0C"/>
          <w:sz w:val="24"/>
          <w:szCs w:val="24"/>
          <w:shd w:val="clear" w:color="auto" w:fill="FFFFFF"/>
        </w:rPr>
        <w:t>etwork Chair</w:t>
      </w:r>
    </w:p>
    <w:p w:rsidR="00707138" w:rsidRPr="00233902" w:rsidRDefault="0081702A" w:rsidP="00707138">
      <w:pPr>
        <w:pStyle w:val="ListParagraph"/>
        <w:numPr>
          <w:ilvl w:val="0"/>
          <w:numId w:val="9"/>
        </w:numPr>
        <w:rPr>
          <w:rFonts w:ascii="Arial" w:hAnsi="Arial" w:cs="Arial"/>
          <w:color w:val="0B0C0C"/>
          <w:sz w:val="24"/>
          <w:szCs w:val="24"/>
          <w:shd w:val="clear" w:color="auto" w:fill="FFFFFF"/>
        </w:rPr>
      </w:pPr>
      <w:r w:rsidRPr="00233902">
        <w:rPr>
          <w:rFonts w:ascii="Arial" w:hAnsi="Arial" w:cs="Arial"/>
          <w:color w:val="0B0C0C"/>
          <w:sz w:val="24"/>
          <w:szCs w:val="24"/>
          <w:shd w:val="clear" w:color="auto" w:fill="FFFFFF"/>
        </w:rPr>
        <w:t>L&amp;SC Primary Care Leads</w:t>
      </w:r>
      <w:r w:rsidR="00707138" w:rsidRPr="00233902">
        <w:rPr>
          <w:rFonts w:ascii="Arial" w:hAnsi="Arial" w:cs="Arial"/>
          <w:color w:val="0B0C0C"/>
          <w:sz w:val="24"/>
          <w:szCs w:val="24"/>
          <w:shd w:val="clear" w:color="auto" w:fill="FFFFFF"/>
        </w:rPr>
        <w:t xml:space="preserve"> – GPs, Dentists and Pharmacists – need to identify</w:t>
      </w:r>
    </w:p>
    <w:p w:rsidR="00177EDB" w:rsidRPr="00233902" w:rsidRDefault="00177EDB" w:rsidP="00707138">
      <w:pPr>
        <w:pStyle w:val="ListParagraph"/>
        <w:numPr>
          <w:ilvl w:val="0"/>
          <w:numId w:val="9"/>
        </w:numPr>
        <w:rPr>
          <w:rFonts w:ascii="Arial" w:hAnsi="Arial" w:cs="Arial"/>
          <w:color w:val="0B0C0C"/>
          <w:sz w:val="24"/>
          <w:szCs w:val="24"/>
          <w:shd w:val="clear" w:color="auto" w:fill="FFFFFF"/>
        </w:rPr>
      </w:pPr>
      <w:r w:rsidRPr="00233902">
        <w:rPr>
          <w:rFonts w:ascii="Arial" w:hAnsi="Arial" w:cs="Arial"/>
          <w:color w:val="0B0C0C"/>
          <w:sz w:val="24"/>
          <w:szCs w:val="24"/>
          <w:shd w:val="clear" w:color="auto" w:fill="FFFFFF"/>
        </w:rPr>
        <w:t>Local Authority Public Health Representatives</w:t>
      </w:r>
    </w:p>
    <w:p w:rsidR="00E24A08" w:rsidRPr="00233902" w:rsidRDefault="00E24A08" w:rsidP="00707138">
      <w:pPr>
        <w:pStyle w:val="ListParagraph"/>
        <w:numPr>
          <w:ilvl w:val="0"/>
          <w:numId w:val="9"/>
        </w:numPr>
        <w:rPr>
          <w:rFonts w:ascii="Arial" w:hAnsi="Arial" w:cs="Arial"/>
          <w:color w:val="0B0C0C"/>
          <w:sz w:val="24"/>
          <w:szCs w:val="24"/>
          <w:shd w:val="clear" w:color="auto" w:fill="FFFFFF"/>
        </w:rPr>
      </w:pPr>
      <w:r w:rsidRPr="00233902">
        <w:rPr>
          <w:rFonts w:ascii="Arial" w:hAnsi="Arial" w:cs="Arial"/>
          <w:color w:val="0B0C0C"/>
          <w:sz w:val="24"/>
          <w:szCs w:val="24"/>
          <w:shd w:val="clear" w:color="auto" w:fill="FFFFFF"/>
        </w:rPr>
        <w:t xml:space="preserve">L&amp;SC </w:t>
      </w:r>
      <w:r w:rsidR="00767B37" w:rsidRPr="00233902">
        <w:rPr>
          <w:rFonts w:ascii="Arial" w:hAnsi="Arial" w:cs="Arial"/>
          <w:color w:val="0B0C0C"/>
          <w:sz w:val="24"/>
          <w:szCs w:val="24"/>
          <w:shd w:val="clear" w:color="auto" w:fill="FFFFFF"/>
        </w:rPr>
        <w:t>Maternity, Newborn and Women’s Health Transformation Programme Manager</w:t>
      </w:r>
    </w:p>
    <w:p w:rsidR="00767B37" w:rsidRPr="00233902" w:rsidRDefault="00767B37" w:rsidP="00707138">
      <w:pPr>
        <w:pStyle w:val="ListParagraph"/>
        <w:numPr>
          <w:ilvl w:val="0"/>
          <w:numId w:val="9"/>
        </w:numPr>
        <w:rPr>
          <w:rFonts w:ascii="Arial" w:hAnsi="Arial" w:cs="Arial"/>
          <w:color w:val="0B0C0C"/>
          <w:sz w:val="24"/>
          <w:szCs w:val="24"/>
          <w:shd w:val="clear" w:color="auto" w:fill="FFFFFF"/>
        </w:rPr>
      </w:pPr>
      <w:r w:rsidRPr="00233902">
        <w:rPr>
          <w:rFonts w:ascii="Arial" w:hAnsi="Arial" w:cs="Arial"/>
          <w:color w:val="0B0C0C"/>
          <w:sz w:val="24"/>
          <w:szCs w:val="24"/>
          <w:shd w:val="clear" w:color="auto" w:fill="FFFFFF"/>
        </w:rPr>
        <w:t>L&amp;SC Maternity, Newborn and Women’s Health Public Health, Prevention and Early Intervention Strategic Clinical Manager</w:t>
      </w:r>
    </w:p>
    <w:p w:rsidR="00C04747" w:rsidRPr="00233902" w:rsidRDefault="00C04747" w:rsidP="00B31E7A">
      <w:pPr>
        <w:pStyle w:val="Heading1"/>
        <w:numPr>
          <w:ilvl w:val="0"/>
          <w:numId w:val="1"/>
        </w:numPr>
        <w:jc w:val="both"/>
        <w:rPr>
          <w:color w:val="1F3864" w:themeColor="accent1" w:themeShade="80"/>
          <w:sz w:val="24"/>
          <w:szCs w:val="24"/>
        </w:rPr>
      </w:pPr>
      <w:bookmarkStart w:id="4" w:name="_Toc43292467"/>
      <w:r w:rsidRPr="00233902">
        <w:rPr>
          <w:color w:val="1F3864" w:themeColor="accent1" w:themeShade="80"/>
          <w:sz w:val="24"/>
          <w:szCs w:val="24"/>
        </w:rPr>
        <w:t>Deputies</w:t>
      </w:r>
      <w:bookmarkEnd w:id="4"/>
    </w:p>
    <w:p w:rsidR="00C04747" w:rsidRPr="00233902" w:rsidRDefault="00C04747" w:rsidP="00C04747">
      <w:pPr>
        <w:jc w:val="both"/>
        <w:rPr>
          <w:rFonts w:ascii="Arial" w:hAnsi="Arial" w:cs="Arial"/>
          <w:sz w:val="24"/>
          <w:szCs w:val="24"/>
        </w:rPr>
      </w:pPr>
      <w:r w:rsidRPr="00233902">
        <w:rPr>
          <w:rFonts w:ascii="Arial" w:hAnsi="Arial" w:cs="Arial"/>
          <w:sz w:val="24"/>
          <w:szCs w:val="24"/>
        </w:rPr>
        <w:t>Members of the Board should identify a deputy for the occasions when they are unavailable and supply the name of their nominated deputy to the Chair. The deputy must be able to fulfil the role and be fully empowered particularly with respect to decision making and risk management.</w:t>
      </w:r>
    </w:p>
    <w:p w:rsidR="00C51757" w:rsidRPr="00233902" w:rsidRDefault="00C51757" w:rsidP="00C51757">
      <w:pPr>
        <w:pStyle w:val="Heading1"/>
        <w:numPr>
          <w:ilvl w:val="0"/>
          <w:numId w:val="0"/>
        </w:numPr>
        <w:jc w:val="both"/>
        <w:rPr>
          <w:sz w:val="24"/>
          <w:szCs w:val="24"/>
        </w:rPr>
      </w:pPr>
      <w:bookmarkStart w:id="5" w:name="_Toc43292468"/>
    </w:p>
    <w:p w:rsidR="00C04747" w:rsidRPr="00233902" w:rsidRDefault="00C04747" w:rsidP="00B31E7A">
      <w:pPr>
        <w:pStyle w:val="Heading1"/>
        <w:numPr>
          <w:ilvl w:val="0"/>
          <w:numId w:val="1"/>
        </w:numPr>
        <w:jc w:val="both"/>
        <w:rPr>
          <w:color w:val="1F3864" w:themeColor="accent1" w:themeShade="80"/>
          <w:sz w:val="24"/>
          <w:szCs w:val="24"/>
        </w:rPr>
      </w:pPr>
      <w:r w:rsidRPr="00233902">
        <w:rPr>
          <w:color w:val="1F3864" w:themeColor="accent1" w:themeShade="80"/>
          <w:sz w:val="24"/>
          <w:szCs w:val="24"/>
        </w:rPr>
        <w:t>Quorum</w:t>
      </w:r>
      <w:bookmarkEnd w:id="5"/>
    </w:p>
    <w:p w:rsidR="00C04747" w:rsidRPr="00233902" w:rsidRDefault="00C04747" w:rsidP="00C04747">
      <w:pPr>
        <w:jc w:val="both"/>
        <w:rPr>
          <w:rFonts w:ascii="Arial" w:hAnsi="Arial" w:cs="Arial"/>
          <w:sz w:val="24"/>
          <w:szCs w:val="24"/>
        </w:rPr>
      </w:pPr>
      <w:r w:rsidRPr="00233902">
        <w:rPr>
          <w:rFonts w:ascii="Arial" w:hAnsi="Arial" w:cs="Arial"/>
          <w:sz w:val="24"/>
          <w:szCs w:val="24"/>
        </w:rPr>
        <w:t xml:space="preserve">For decision making purposes, the meeting will </w:t>
      </w:r>
      <w:proofErr w:type="gramStart"/>
      <w:r w:rsidRPr="00233902">
        <w:rPr>
          <w:rFonts w:ascii="Arial" w:hAnsi="Arial" w:cs="Arial"/>
          <w:sz w:val="24"/>
          <w:szCs w:val="24"/>
        </w:rPr>
        <w:t>be considered to be</w:t>
      </w:r>
      <w:proofErr w:type="gramEnd"/>
      <w:r w:rsidRPr="00233902">
        <w:rPr>
          <w:rFonts w:ascii="Arial" w:hAnsi="Arial" w:cs="Arial"/>
          <w:sz w:val="24"/>
          <w:szCs w:val="24"/>
        </w:rPr>
        <w:t xml:space="preserve"> quorate </w:t>
      </w:r>
      <w:r w:rsidR="001F4939" w:rsidRPr="00233902">
        <w:rPr>
          <w:rFonts w:ascii="Arial" w:hAnsi="Arial" w:cs="Arial"/>
          <w:sz w:val="24"/>
          <w:szCs w:val="24"/>
        </w:rPr>
        <w:t>if these are present:</w:t>
      </w:r>
    </w:p>
    <w:p w:rsidR="001F4939" w:rsidRPr="00233902" w:rsidRDefault="0091118A" w:rsidP="00C04747">
      <w:pPr>
        <w:jc w:val="both"/>
        <w:rPr>
          <w:rFonts w:ascii="Arial" w:hAnsi="Arial" w:cs="Arial"/>
          <w:sz w:val="24"/>
          <w:szCs w:val="24"/>
        </w:rPr>
      </w:pPr>
      <w:r w:rsidRPr="00233902">
        <w:rPr>
          <w:rFonts w:ascii="Arial" w:hAnsi="Arial" w:cs="Arial"/>
          <w:sz w:val="24"/>
          <w:szCs w:val="24"/>
        </w:rPr>
        <w:t>Chair or deputy chair</w:t>
      </w:r>
    </w:p>
    <w:p w:rsidR="0091118A" w:rsidRPr="00233902" w:rsidRDefault="0091118A" w:rsidP="00C04747">
      <w:pPr>
        <w:jc w:val="both"/>
        <w:rPr>
          <w:rFonts w:ascii="Arial" w:hAnsi="Arial" w:cs="Arial"/>
          <w:sz w:val="24"/>
          <w:szCs w:val="24"/>
        </w:rPr>
      </w:pPr>
      <w:r w:rsidRPr="00233902">
        <w:rPr>
          <w:rFonts w:ascii="Arial" w:hAnsi="Arial" w:cs="Arial"/>
          <w:sz w:val="24"/>
          <w:szCs w:val="24"/>
        </w:rPr>
        <w:t xml:space="preserve">ICB </w:t>
      </w:r>
      <w:r w:rsidR="00424853" w:rsidRPr="00233902">
        <w:rPr>
          <w:rFonts w:ascii="Arial" w:hAnsi="Arial" w:cs="Arial"/>
          <w:sz w:val="24"/>
          <w:szCs w:val="24"/>
        </w:rPr>
        <w:t>WCYPM</w:t>
      </w:r>
    </w:p>
    <w:p w:rsidR="00424853" w:rsidRPr="00233902" w:rsidRDefault="005202EC" w:rsidP="00C04747">
      <w:pPr>
        <w:jc w:val="both"/>
        <w:rPr>
          <w:rFonts w:ascii="Arial" w:hAnsi="Arial" w:cs="Arial"/>
          <w:sz w:val="24"/>
          <w:szCs w:val="24"/>
        </w:rPr>
      </w:pPr>
      <w:r w:rsidRPr="00233902">
        <w:rPr>
          <w:rFonts w:ascii="Arial" w:hAnsi="Arial" w:cs="Arial"/>
          <w:sz w:val="24"/>
          <w:szCs w:val="24"/>
        </w:rPr>
        <w:t>ICB planned care commissioner</w:t>
      </w:r>
    </w:p>
    <w:p w:rsidR="005202EC" w:rsidRPr="00233902" w:rsidRDefault="005202EC" w:rsidP="00C04747">
      <w:pPr>
        <w:jc w:val="both"/>
        <w:rPr>
          <w:rFonts w:ascii="Arial" w:hAnsi="Arial" w:cs="Arial"/>
          <w:sz w:val="24"/>
          <w:szCs w:val="24"/>
        </w:rPr>
      </w:pPr>
      <w:r w:rsidRPr="00233902">
        <w:rPr>
          <w:rFonts w:ascii="Arial" w:hAnsi="Arial" w:cs="Arial"/>
          <w:sz w:val="24"/>
          <w:szCs w:val="24"/>
        </w:rPr>
        <w:t xml:space="preserve">LA commissioner </w:t>
      </w:r>
    </w:p>
    <w:p w:rsidR="00DC7847" w:rsidRPr="00233902" w:rsidRDefault="00715FDB" w:rsidP="00C04747">
      <w:pPr>
        <w:jc w:val="both"/>
        <w:rPr>
          <w:rFonts w:ascii="Arial" w:hAnsi="Arial" w:cs="Arial"/>
          <w:sz w:val="24"/>
          <w:szCs w:val="24"/>
        </w:rPr>
      </w:pPr>
      <w:r w:rsidRPr="00233902">
        <w:rPr>
          <w:rFonts w:ascii="Arial" w:hAnsi="Arial" w:cs="Arial"/>
          <w:sz w:val="24"/>
          <w:szCs w:val="24"/>
        </w:rPr>
        <w:t>1 representative</w:t>
      </w:r>
      <w:r w:rsidR="00044EAE" w:rsidRPr="00233902">
        <w:rPr>
          <w:rFonts w:ascii="Arial" w:hAnsi="Arial" w:cs="Arial"/>
          <w:sz w:val="24"/>
          <w:szCs w:val="24"/>
        </w:rPr>
        <w:t xml:space="preserve"> from every Task &amp; Finish group</w:t>
      </w:r>
    </w:p>
    <w:p w:rsidR="00044EAE" w:rsidRPr="00233902" w:rsidRDefault="00044EAE" w:rsidP="00C04747">
      <w:pPr>
        <w:jc w:val="both"/>
        <w:rPr>
          <w:rFonts w:ascii="Arial" w:hAnsi="Arial" w:cs="Arial"/>
          <w:sz w:val="24"/>
          <w:szCs w:val="24"/>
        </w:rPr>
      </w:pPr>
    </w:p>
    <w:p w:rsidR="00C04747" w:rsidRPr="00233902" w:rsidRDefault="00C04747" w:rsidP="00C04747">
      <w:pPr>
        <w:jc w:val="both"/>
        <w:rPr>
          <w:rFonts w:ascii="Arial" w:hAnsi="Arial" w:cs="Arial"/>
          <w:sz w:val="24"/>
          <w:szCs w:val="24"/>
        </w:rPr>
      </w:pPr>
      <w:r w:rsidRPr="00233902">
        <w:rPr>
          <w:rFonts w:ascii="Arial" w:hAnsi="Arial" w:cs="Arial"/>
          <w:sz w:val="24"/>
          <w:szCs w:val="24"/>
        </w:rPr>
        <w:t>Board members (or nominated deputies) must attend at least 60% of meetings per annum.</w:t>
      </w:r>
    </w:p>
    <w:p w:rsidR="00102372" w:rsidRPr="00233902" w:rsidRDefault="00102372" w:rsidP="00102372">
      <w:pPr>
        <w:pStyle w:val="Heading1"/>
        <w:numPr>
          <w:ilvl w:val="0"/>
          <w:numId w:val="0"/>
        </w:numPr>
        <w:jc w:val="both"/>
        <w:rPr>
          <w:color w:val="1F3864" w:themeColor="accent1" w:themeShade="80"/>
          <w:sz w:val="24"/>
          <w:szCs w:val="24"/>
        </w:rPr>
      </w:pPr>
      <w:bookmarkStart w:id="6" w:name="_Toc43292469"/>
    </w:p>
    <w:p w:rsidR="00C04747" w:rsidRPr="00233902" w:rsidRDefault="00C04747" w:rsidP="00102372">
      <w:pPr>
        <w:pStyle w:val="Heading1"/>
        <w:numPr>
          <w:ilvl w:val="0"/>
          <w:numId w:val="1"/>
        </w:numPr>
        <w:jc w:val="both"/>
        <w:rPr>
          <w:color w:val="1F3864" w:themeColor="accent1" w:themeShade="80"/>
          <w:sz w:val="24"/>
          <w:szCs w:val="24"/>
        </w:rPr>
      </w:pPr>
      <w:r w:rsidRPr="00233902">
        <w:rPr>
          <w:color w:val="1F3864" w:themeColor="accent1" w:themeShade="80"/>
          <w:sz w:val="24"/>
          <w:szCs w:val="24"/>
        </w:rPr>
        <w:t>Senior Responsible Officer (SRO)</w:t>
      </w:r>
      <w:bookmarkEnd w:id="6"/>
    </w:p>
    <w:p w:rsidR="00C04747" w:rsidRPr="00233902" w:rsidRDefault="00C04747" w:rsidP="00C04747">
      <w:pPr>
        <w:jc w:val="both"/>
        <w:rPr>
          <w:rFonts w:ascii="Arial" w:hAnsi="Arial" w:cs="Arial"/>
          <w:sz w:val="24"/>
          <w:szCs w:val="24"/>
        </w:rPr>
      </w:pPr>
      <w:r w:rsidRPr="00233902">
        <w:rPr>
          <w:rFonts w:ascii="Arial" w:hAnsi="Arial" w:cs="Arial"/>
          <w:sz w:val="24"/>
          <w:szCs w:val="24"/>
        </w:rPr>
        <w:t xml:space="preserve">The SRO </w:t>
      </w:r>
      <w:r w:rsidR="00196C50" w:rsidRPr="00233902">
        <w:rPr>
          <w:rFonts w:ascii="Arial" w:hAnsi="Arial" w:cs="Arial"/>
          <w:sz w:val="24"/>
          <w:szCs w:val="24"/>
        </w:rPr>
        <w:t>will</w:t>
      </w:r>
      <w:r w:rsidRPr="00233902">
        <w:rPr>
          <w:rFonts w:ascii="Arial" w:hAnsi="Arial" w:cs="Arial"/>
          <w:sz w:val="24"/>
          <w:szCs w:val="24"/>
        </w:rPr>
        <w:t xml:space="preserve"> </w:t>
      </w:r>
      <w:r w:rsidR="00196C50" w:rsidRPr="00233902">
        <w:rPr>
          <w:rFonts w:ascii="Arial" w:hAnsi="Arial" w:cs="Arial"/>
          <w:sz w:val="24"/>
          <w:szCs w:val="24"/>
        </w:rPr>
        <w:t>c</w:t>
      </w:r>
      <w:r w:rsidRPr="00233902">
        <w:rPr>
          <w:rFonts w:ascii="Arial" w:hAnsi="Arial" w:cs="Arial"/>
          <w:sz w:val="24"/>
          <w:szCs w:val="24"/>
        </w:rPr>
        <w:t>hair</w:t>
      </w:r>
      <w:r w:rsidR="00196C50" w:rsidRPr="00233902">
        <w:rPr>
          <w:rFonts w:ascii="Arial" w:hAnsi="Arial" w:cs="Arial"/>
          <w:sz w:val="24"/>
          <w:szCs w:val="24"/>
        </w:rPr>
        <w:t xml:space="preserve"> this Board and be </w:t>
      </w:r>
      <w:r w:rsidRPr="00233902">
        <w:rPr>
          <w:rFonts w:ascii="Arial" w:hAnsi="Arial" w:cs="Arial"/>
          <w:sz w:val="24"/>
          <w:szCs w:val="24"/>
        </w:rPr>
        <w:t>responsible for:</w:t>
      </w:r>
    </w:p>
    <w:p w:rsidR="00C04747" w:rsidRPr="00233902" w:rsidRDefault="00C04747" w:rsidP="00C04747">
      <w:pPr>
        <w:numPr>
          <w:ilvl w:val="0"/>
          <w:numId w:val="8"/>
        </w:numPr>
        <w:tabs>
          <w:tab w:val="clear" w:pos="720"/>
        </w:tabs>
        <w:spacing w:after="60" w:line="300" w:lineRule="atLeast"/>
        <w:ind w:left="709" w:hanging="283"/>
        <w:jc w:val="both"/>
        <w:rPr>
          <w:rFonts w:ascii="Arial" w:hAnsi="Arial" w:cs="Arial"/>
          <w:sz w:val="24"/>
          <w:szCs w:val="24"/>
        </w:rPr>
      </w:pPr>
      <w:r w:rsidRPr="00233902">
        <w:rPr>
          <w:rFonts w:ascii="Arial" w:hAnsi="Arial" w:cs="Arial"/>
          <w:sz w:val="24"/>
          <w:szCs w:val="24"/>
        </w:rPr>
        <w:t>Setting priorities for the board</w:t>
      </w:r>
    </w:p>
    <w:p w:rsidR="00C04747" w:rsidRPr="00233902" w:rsidRDefault="00C04747" w:rsidP="00C04747">
      <w:pPr>
        <w:numPr>
          <w:ilvl w:val="0"/>
          <w:numId w:val="8"/>
        </w:numPr>
        <w:tabs>
          <w:tab w:val="clear" w:pos="720"/>
        </w:tabs>
        <w:spacing w:after="60" w:line="300" w:lineRule="atLeast"/>
        <w:ind w:left="709" w:hanging="283"/>
        <w:jc w:val="both"/>
        <w:rPr>
          <w:rFonts w:ascii="Arial" w:hAnsi="Arial" w:cs="Arial"/>
          <w:sz w:val="24"/>
          <w:szCs w:val="24"/>
        </w:rPr>
      </w:pPr>
      <w:r w:rsidRPr="00233902">
        <w:rPr>
          <w:rFonts w:ascii="Arial" w:hAnsi="Arial" w:cs="Arial"/>
          <w:sz w:val="24"/>
          <w:szCs w:val="24"/>
        </w:rPr>
        <w:t>Providing strategic direction and decision making</w:t>
      </w:r>
    </w:p>
    <w:p w:rsidR="00C04747" w:rsidRPr="00233902" w:rsidRDefault="00C04747" w:rsidP="00C04747">
      <w:pPr>
        <w:numPr>
          <w:ilvl w:val="0"/>
          <w:numId w:val="8"/>
        </w:numPr>
        <w:tabs>
          <w:tab w:val="clear" w:pos="720"/>
        </w:tabs>
        <w:spacing w:after="60" w:line="300" w:lineRule="atLeast"/>
        <w:ind w:left="709" w:hanging="283"/>
        <w:jc w:val="both"/>
        <w:rPr>
          <w:rFonts w:ascii="Arial" w:hAnsi="Arial" w:cs="Arial"/>
          <w:sz w:val="24"/>
          <w:szCs w:val="24"/>
        </w:rPr>
      </w:pPr>
      <w:r w:rsidRPr="00233902">
        <w:rPr>
          <w:rFonts w:ascii="Arial" w:hAnsi="Arial" w:cs="Arial"/>
          <w:sz w:val="24"/>
          <w:szCs w:val="24"/>
        </w:rPr>
        <w:t>Establishing the programme’s governance arrangements and ensuring appropriate assurance is in place</w:t>
      </w:r>
    </w:p>
    <w:p w:rsidR="00C04747" w:rsidRPr="00233902" w:rsidRDefault="00C04747" w:rsidP="00C04747">
      <w:pPr>
        <w:pStyle w:val="ListParagraph"/>
        <w:numPr>
          <w:ilvl w:val="0"/>
          <w:numId w:val="8"/>
        </w:numPr>
        <w:tabs>
          <w:tab w:val="clear" w:pos="720"/>
          <w:tab w:val="right" w:pos="14580"/>
        </w:tabs>
        <w:spacing w:after="60" w:line="300" w:lineRule="atLeast"/>
        <w:ind w:left="709" w:hanging="283"/>
        <w:jc w:val="both"/>
        <w:rPr>
          <w:rFonts w:ascii="Arial" w:hAnsi="Arial" w:cs="Arial"/>
          <w:sz w:val="24"/>
          <w:szCs w:val="24"/>
        </w:rPr>
      </w:pPr>
      <w:r w:rsidRPr="00233902">
        <w:rPr>
          <w:rFonts w:ascii="Arial" w:hAnsi="Arial" w:cs="Arial"/>
          <w:sz w:val="24"/>
          <w:szCs w:val="24"/>
        </w:rPr>
        <w:t>Ensuring the Board achieves its overall objectives and delivers anticipated benefits</w:t>
      </w:r>
    </w:p>
    <w:p w:rsidR="00C04747" w:rsidRPr="00233902" w:rsidRDefault="00C04747" w:rsidP="00C04747">
      <w:pPr>
        <w:pStyle w:val="ListParagraph"/>
        <w:numPr>
          <w:ilvl w:val="0"/>
          <w:numId w:val="8"/>
        </w:numPr>
        <w:tabs>
          <w:tab w:val="clear" w:pos="720"/>
        </w:tabs>
        <w:spacing w:after="60" w:line="300" w:lineRule="atLeast"/>
        <w:ind w:left="709" w:hanging="283"/>
        <w:jc w:val="both"/>
        <w:rPr>
          <w:rFonts w:ascii="Arial" w:hAnsi="Arial" w:cs="Arial"/>
          <w:sz w:val="24"/>
          <w:szCs w:val="24"/>
        </w:rPr>
      </w:pPr>
      <w:r w:rsidRPr="00233902">
        <w:rPr>
          <w:rFonts w:ascii="Arial" w:hAnsi="Arial" w:cs="Arial"/>
          <w:sz w:val="24"/>
          <w:szCs w:val="24"/>
        </w:rPr>
        <w:t>Monitoring the progress of the programme</w:t>
      </w:r>
    </w:p>
    <w:p w:rsidR="00C04747" w:rsidRPr="00233902" w:rsidRDefault="00C04747" w:rsidP="00C04747">
      <w:pPr>
        <w:pStyle w:val="ListParagraph"/>
        <w:numPr>
          <w:ilvl w:val="0"/>
          <w:numId w:val="8"/>
        </w:numPr>
        <w:tabs>
          <w:tab w:val="clear" w:pos="720"/>
        </w:tabs>
        <w:spacing w:after="60" w:line="300" w:lineRule="atLeast"/>
        <w:ind w:left="709" w:hanging="283"/>
        <w:jc w:val="both"/>
        <w:rPr>
          <w:rFonts w:ascii="Arial" w:hAnsi="Arial" w:cs="Arial"/>
          <w:sz w:val="24"/>
          <w:szCs w:val="24"/>
        </w:rPr>
      </w:pPr>
      <w:r w:rsidRPr="00233902">
        <w:rPr>
          <w:rFonts w:ascii="Arial" w:hAnsi="Arial" w:cs="Arial"/>
          <w:sz w:val="24"/>
          <w:szCs w:val="24"/>
        </w:rPr>
        <w:t>Monitoring the key strategic risks facing the programme</w:t>
      </w:r>
    </w:p>
    <w:p w:rsidR="00C04747" w:rsidRPr="00233902" w:rsidRDefault="00C04747" w:rsidP="00C04747">
      <w:pPr>
        <w:pStyle w:val="ListParagraph"/>
        <w:numPr>
          <w:ilvl w:val="0"/>
          <w:numId w:val="8"/>
        </w:numPr>
        <w:tabs>
          <w:tab w:val="clear" w:pos="720"/>
        </w:tabs>
        <w:spacing w:after="60" w:line="300" w:lineRule="atLeast"/>
        <w:ind w:left="709" w:hanging="283"/>
        <w:jc w:val="both"/>
        <w:rPr>
          <w:rFonts w:ascii="Arial" w:hAnsi="Arial" w:cs="Arial"/>
          <w:sz w:val="24"/>
          <w:szCs w:val="24"/>
        </w:rPr>
      </w:pPr>
      <w:r w:rsidRPr="00233902">
        <w:rPr>
          <w:rFonts w:ascii="Arial" w:hAnsi="Arial" w:cs="Arial"/>
          <w:sz w:val="24"/>
          <w:szCs w:val="24"/>
        </w:rPr>
        <w:t xml:space="preserve">Escalating issues as necessary and in a timely manner </w:t>
      </w:r>
    </w:p>
    <w:p w:rsidR="00C04747" w:rsidRPr="00233902" w:rsidRDefault="00C04747" w:rsidP="00C04747">
      <w:pPr>
        <w:pStyle w:val="ListParagraph"/>
        <w:numPr>
          <w:ilvl w:val="0"/>
          <w:numId w:val="8"/>
        </w:numPr>
        <w:tabs>
          <w:tab w:val="clear" w:pos="720"/>
        </w:tabs>
        <w:spacing w:after="60" w:line="300" w:lineRule="atLeast"/>
        <w:ind w:left="709" w:hanging="283"/>
        <w:jc w:val="both"/>
        <w:rPr>
          <w:rFonts w:ascii="Arial" w:hAnsi="Arial" w:cs="Arial"/>
          <w:sz w:val="24"/>
          <w:szCs w:val="24"/>
        </w:rPr>
      </w:pPr>
      <w:r w:rsidRPr="00233902">
        <w:rPr>
          <w:rFonts w:ascii="Arial" w:hAnsi="Arial" w:cs="Arial"/>
          <w:sz w:val="24"/>
          <w:szCs w:val="24"/>
        </w:rPr>
        <w:t>Maintaining the interface with key senior stakeholders, keeping them engaged and informed.</w:t>
      </w:r>
    </w:p>
    <w:p w:rsidR="000E29EC" w:rsidRPr="00233902" w:rsidRDefault="000E29EC" w:rsidP="00CB6C9F">
      <w:pPr>
        <w:pStyle w:val="Heading1"/>
        <w:numPr>
          <w:ilvl w:val="0"/>
          <w:numId w:val="0"/>
        </w:numPr>
        <w:jc w:val="both"/>
        <w:rPr>
          <w:color w:val="1F3864" w:themeColor="accent1" w:themeShade="80"/>
          <w:sz w:val="24"/>
          <w:szCs w:val="24"/>
        </w:rPr>
      </w:pPr>
      <w:bookmarkStart w:id="7" w:name="_Toc43292470"/>
    </w:p>
    <w:p w:rsidR="00C04747" w:rsidRPr="00233902" w:rsidRDefault="00C04747" w:rsidP="000E29EC">
      <w:pPr>
        <w:pStyle w:val="Heading1"/>
        <w:numPr>
          <w:ilvl w:val="0"/>
          <w:numId w:val="1"/>
        </w:numPr>
        <w:jc w:val="both"/>
        <w:rPr>
          <w:sz w:val="24"/>
          <w:szCs w:val="24"/>
        </w:rPr>
      </w:pPr>
      <w:r w:rsidRPr="00233902">
        <w:rPr>
          <w:color w:val="1F3864" w:themeColor="accent1" w:themeShade="80"/>
          <w:sz w:val="24"/>
          <w:szCs w:val="24"/>
        </w:rPr>
        <w:t>Meeting</w:t>
      </w:r>
      <w:bookmarkEnd w:id="7"/>
      <w:r w:rsidR="003C6774" w:rsidRPr="00233902">
        <w:rPr>
          <w:color w:val="1F3864" w:themeColor="accent1" w:themeShade="80"/>
          <w:sz w:val="24"/>
          <w:szCs w:val="24"/>
        </w:rPr>
        <w:t xml:space="preserve"> arrangements</w:t>
      </w:r>
    </w:p>
    <w:p w:rsidR="00C04747" w:rsidRPr="00233902" w:rsidRDefault="00C04747" w:rsidP="003C6774">
      <w:pPr>
        <w:pStyle w:val="ListParagraph"/>
        <w:numPr>
          <w:ilvl w:val="0"/>
          <w:numId w:val="10"/>
        </w:numPr>
        <w:jc w:val="both"/>
        <w:rPr>
          <w:rFonts w:ascii="Arial" w:hAnsi="Arial" w:cs="Arial"/>
          <w:sz w:val="24"/>
          <w:szCs w:val="24"/>
        </w:rPr>
      </w:pPr>
      <w:r w:rsidRPr="00233902">
        <w:rPr>
          <w:rFonts w:ascii="Arial" w:hAnsi="Arial" w:cs="Arial"/>
          <w:sz w:val="24"/>
          <w:szCs w:val="24"/>
        </w:rPr>
        <w:t>The</w:t>
      </w:r>
      <w:r w:rsidR="00C51757" w:rsidRPr="00233902">
        <w:rPr>
          <w:rFonts w:ascii="Arial" w:hAnsi="Arial" w:cs="Arial"/>
          <w:sz w:val="24"/>
          <w:szCs w:val="24"/>
        </w:rPr>
        <w:t xml:space="preserve"> Women’s</w:t>
      </w:r>
      <w:r w:rsidRPr="00233902">
        <w:rPr>
          <w:rFonts w:ascii="Arial" w:hAnsi="Arial" w:cs="Arial"/>
          <w:sz w:val="24"/>
          <w:szCs w:val="24"/>
        </w:rPr>
        <w:t xml:space="preserve"> Health Board will meet </w:t>
      </w:r>
      <w:r w:rsidR="000E29EC" w:rsidRPr="00233902">
        <w:rPr>
          <w:rFonts w:ascii="Arial" w:hAnsi="Arial" w:cs="Arial"/>
          <w:sz w:val="24"/>
          <w:szCs w:val="24"/>
        </w:rPr>
        <w:t>Bi-</w:t>
      </w:r>
      <w:r w:rsidRPr="00233902">
        <w:rPr>
          <w:rFonts w:ascii="Arial" w:hAnsi="Arial" w:cs="Arial"/>
          <w:sz w:val="24"/>
          <w:szCs w:val="24"/>
        </w:rPr>
        <w:t>Monthly.</w:t>
      </w:r>
    </w:p>
    <w:p w:rsidR="00C04747" w:rsidRPr="00233902" w:rsidRDefault="00C04747" w:rsidP="003C6774">
      <w:pPr>
        <w:pStyle w:val="ListParagraph"/>
        <w:numPr>
          <w:ilvl w:val="0"/>
          <w:numId w:val="10"/>
        </w:numPr>
        <w:jc w:val="both"/>
        <w:rPr>
          <w:rFonts w:ascii="Arial" w:hAnsi="Arial" w:cs="Arial"/>
          <w:sz w:val="24"/>
          <w:szCs w:val="24"/>
        </w:rPr>
      </w:pPr>
      <w:r w:rsidRPr="00233902">
        <w:rPr>
          <w:rFonts w:ascii="Arial" w:hAnsi="Arial" w:cs="Arial"/>
          <w:sz w:val="24"/>
          <w:szCs w:val="24"/>
        </w:rPr>
        <w:t xml:space="preserve">These meetings will be </w:t>
      </w:r>
      <w:r w:rsidRPr="00233902">
        <w:rPr>
          <w:rFonts w:ascii="Arial" w:hAnsi="Arial" w:cs="Arial"/>
          <w:color w:val="000000" w:themeColor="text1"/>
          <w:sz w:val="24"/>
          <w:szCs w:val="24"/>
        </w:rPr>
        <w:t xml:space="preserve">via MS Teams and will last approximately </w:t>
      </w:r>
      <w:r w:rsidR="00DB4C60" w:rsidRPr="00233902">
        <w:rPr>
          <w:rFonts w:ascii="Arial" w:hAnsi="Arial" w:cs="Arial"/>
          <w:color w:val="000000" w:themeColor="text1"/>
          <w:sz w:val="24"/>
          <w:szCs w:val="24"/>
        </w:rPr>
        <w:t>1.5</w:t>
      </w:r>
      <w:r w:rsidRPr="00233902">
        <w:rPr>
          <w:rFonts w:ascii="Arial" w:hAnsi="Arial" w:cs="Arial"/>
          <w:color w:val="000000" w:themeColor="text1"/>
          <w:sz w:val="24"/>
          <w:szCs w:val="24"/>
        </w:rPr>
        <w:t xml:space="preserve"> hours.   </w:t>
      </w:r>
      <w:r w:rsidR="00FA0C27" w:rsidRPr="00233902">
        <w:rPr>
          <w:rFonts w:ascii="Arial" w:hAnsi="Arial" w:cs="Arial"/>
          <w:color w:val="000000" w:themeColor="text1"/>
          <w:sz w:val="24"/>
          <w:szCs w:val="24"/>
        </w:rPr>
        <w:t xml:space="preserve">On some occasions these will be held face to face. </w:t>
      </w:r>
      <w:r w:rsidRPr="00233902">
        <w:rPr>
          <w:rFonts w:ascii="Arial" w:hAnsi="Arial" w:cs="Arial"/>
          <w:color w:val="000000" w:themeColor="text1"/>
          <w:sz w:val="24"/>
          <w:szCs w:val="24"/>
        </w:rPr>
        <w:t xml:space="preserve">If the need arises in between the </w:t>
      </w:r>
      <w:r w:rsidRPr="00233902">
        <w:rPr>
          <w:rFonts w:ascii="Arial" w:hAnsi="Arial" w:cs="Arial"/>
          <w:sz w:val="24"/>
          <w:szCs w:val="24"/>
        </w:rPr>
        <w:t>meetings for a key decision to be made</w:t>
      </w:r>
      <w:r w:rsidR="004F6237" w:rsidRPr="00233902">
        <w:rPr>
          <w:rFonts w:ascii="Arial" w:hAnsi="Arial" w:cs="Arial"/>
          <w:sz w:val="24"/>
          <w:szCs w:val="24"/>
        </w:rPr>
        <w:t>,</w:t>
      </w:r>
      <w:r w:rsidRPr="00233902">
        <w:rPr>
          <w:rFonts w:ascii="Arial" w:hAnsi="Arial" w:cs="Arial"/>
          <w:sz w:val="24"/>
          <w:szCs w:val="24"/>
        </w:rPr>
        <w:t xml:space="preserve"> an additional call will be arranged in the interim. </w:t>
      </w:r>
    </w:p>
    <w:p w:rsidR="00B6677A" w:rsidRPr="00233902" w:rsidRDefault="00B6677A" w:rsidP="00B6677A">
      <w:pPr>
        <w:pStyle w:val="ListParagraph"/>
        <w:numPr>
          <w:ilvl w:val="0"/>
          <w:numId w:val="10"/>
        </w:numPr>
        <w:suppressAutoHyphens/>
        <w:autoSpaceDN w:val="0"/>
        <w:spacing w:after="0" w:line="276" w:lineRule="auto"/>
        <w:contextualSpacing w:val="0"/>
        <w:jc w:val="both"/>
        <w:textAlignment w:val="baseline"/>
        <w:rPr>
          <w:rFonts w:ascii="Arial" w:hAnsi="Arial" w:cs="Arial"/>
          <w:sz w:val="24"/>
          <w:szCs w:val="24"/>
        </w:rPr>
      </w:pPr>
      <w:r w:rsidRPr="00233902">
        <w:rPr>
          <w:rFonts w:ascii="Arial" w:hAnsi="Arial" w:cs="Arial"/>
          <w:sz w:val="24"/>
          <w:szCs w:val="24"/>
        </w:rPr>
        <w:t>The Chair or any forum may at any time convene extraordinary meetings to consider business that requires urgent attention.</w:t>
      </w:r>
    </w:p>
    <w:p w:rsidR="00B6677A" w:rsidRPr="00233902" w:rsidRDefault="00B6677A" w:rsidP="00B6677A">
      <w:pPr>
        <w:pStyle w:val="ListParagraph"/>
        <w:numPr>
          <w:ilvl w:val="0"/>
          <w:numId w:val="10"/>
        </w:numPr>
        <w:suppressAutoHyphens/>
        <w:autoSpaceDN w:val="0"/>
        <w:spacing w:after="0" w:line="276" w:lineRule="auto"/>
        <w:contextualSpacing w:val="0"/>
        <w:jc w:val="both"/>
        <w:textAlignment w:val="baseline"/>
        <w:rPr>
          <w:rFonts w:ascii="Arial" w:hAnsi="Arial" w:cs="Arial"/>
          <w:sz w:val="24"/>
          <w:szCs w:val="24"/>
        </w:rPr>
      </w:pPr>
      <w:r w:rsidRPr="00233902">
        <w:rPr>
          <w:rFonts w:ascii="Arial" w:hAnsi="Arial" w:cs="Arial"/>
          <w:sz w:val="24"/>
          <w:szCs w:val="24"/>
        </w:rPr>
        <w:t xml:space="preserve">Administrative functions will be provided via the </w:t>
      </w:r>
      <w:r w:rsidR="00FA0C27" w:rsidRPr="00233902">
        <w:rPr>
          <w:rFonts w:ascii="Arial" w:hAnsi="Arial" w:cs="Arial"/>
          <w:sz w:val="24"/>
          <w:szCs w:val="24"/>
        </w:rPr>
        <w:t>ICB WCYPM team</w:t>
      </w:r>
      <w:r w:rsidRPr="00233902">
        <w:rPr>
          <w:rFonts w:ascii="Arial" w:hAnsi="Arial" w:cs="Arial"/>
          <w:sz w:val="24"/>
          <w:szCs w:val="24"/>
        </w:rPr>
        <w:t>.</w:t>
      </w:r>
    </w:p>
    <w:p w:rsidR="00B6677A" w:rsidRPr="00233902" w:rsidRDefault="00B6677A" w:rsidP="00B6677A">
      <w:pPr>
        <w:pStyle w:val="ListParagraph"/>
        <w:numPr>
          <w:ilvl w:val="0"/>
          <w:numId w:val="10"/>
        </w:numPr>
        <w:suppressAutoHyphens/>
        <w:autoSpaceDN w:val="0"/>
        <w:spacing w:after="0" w:line="276" w:lineRule="auto"/>
        <w:contextualSpacing w:val="0"/>
        <w:jc w:val="both"/>
        <w:textAlignment w:val="baseline"/>
        <w:rPr>
          <w:rFonts w:ascii="Arial" w:hAnsi="Arial" w:cs="Arial"/>
          <w:sz w:val="24"/>
          <w:szCs w:val="24"/>
        </w:rPr>
      </w:pPr>
      <w:r w:rsidRPr="00233902">
        <w:rPr>
          <w:rFonts w:ascii="Arial" w:hAnsi="Arial" w:cs="Arial"/>
          <w:sz w:val="24"/>
          <w:szCs w:val="24"/>
        </w:rPr>
        <w:t>All papers agreed by the Chair should be received by the Administrator a minimum of 7 working days in advance of the meeting.</w:t>
      </w:r>
    </w:p>
    <w:p w:rsidR="00B6677A" w:rsidRPr="00233902" w:rsidRDefault="00B6677A" w:rsidP="00B6677A">
      <w:pPr>
        <w:pStyle w:val="ListParagraph"/>
        <w:numPr>
          <w:ilvl w:val="0"/>
          <w:numId w:val="10"/>
        </w:numPr>
        <w:suppressAutoHyphens/>
        <w:autoSpaceDN w:val="0"/>
        <w:spacing w:after="0" w:line="276" w:lineRule="auto"/>
        <w:contextualSpacing w:val="0"/>
        <w:jc w:val="both"/>
        <w:textAlignment w:val="baseline"/>
        <w:rPr>
          <w:rFonts w:ascii="Arial" w:hAnsi="Arial" w:cs="Arial"/>
          <w:sz w:val="24"/>
          <w:szCs w:val="24"/>
        </w:rPr>
      </w:pPr>
      <w:r w:rsidRPr="00233902">
        <w:rPr>
          <w:rFonts w:ascii="Arial" w:hAnsi="Arial" w:cs="Arial"/>
          <w:sz w:val="24"/>
          <w:szCs w:val="24"/>
        </w:rPr>
        <w:t>Agenda and papers to be agreed with the Chair a minimum of 4 working days before the meeting.</w:t>
      </w:r>
    </w:p>
    <w:p w:rsidR="00B6677A" w:rsidRPr="00233902" w:rsidRDefault="00B6677A" w:rsidP="00B6677A">
      <w:pPr>
        <w:pStyle w:val="ListParagraph"/>
        <w:numPr>
          <w:ilvl w:val="0"/>
          <w:numId w:val="10"/>
        </w:numPr>
        <w:suppressAutoHyphens/>
        <w:autoSpaceDN w:val="0"/>
        <w:spacing w:after="0" w:line="276" w:lineRule="auto"/>
        <w:contextualSpacing w:val="0"/>
        <w:jc w:val="both"/>
        <w:textAlignment w:val="baseline"/>
        <w:rPr>
          <w:rFonts w:ascii="Arial" w:hAnsi="Arial" w:cs="Arial"/>
          <w:sz w:val="24"/>
          <w:szCs w:val="24"/>
        </w:rPr>
      </w:pPr>
      <w:r w:rsidRPr="00233902">
        <w:rPr>
          <w:rFonts w:ascii="Arial" w:hAnsi="Arial" w:cs="Arial"/>
          <w:sz w:val="24"/>
          <w:szCs w:val="24"/>
        </w:rPr>
        <w:t>Agenda and papers will be sent out a minimum of 7 working days before the meeting.</w:t>
      </w:r>
    </w:p>
    <w:p w:rsidR="003C6774" w:rsidRPr="00233902" w:rsidRDefault="00B6677A" w:rsidP="00B6677A">
      <w:pPr>
        <w:pStyle w:val="ListParagraph"/>
        <w:numPr>
          <w:ilvl w:val="0"/>
          <w:numId w:val="10"/>
        </w:numPr>
        <w:suppressAutoHyphens/>
        <w:autoSpaceDN w:val="0"/>
        <w:spacing w:after="0" w:line="276" w:lineRule="auto"/>
        <w:contextualSpacing w:val="0"/>
        <w:jc w:val="both"/>
        <w:textAlignment w:val="baseline"/>
        <w:rPr>
          <w:rFonts w:ascii="Arial" w:hAnsi="Arial" w:cs="Arial"/>
          <w:sz w:val="24"/>
          <w:szCs w:val="24"/>
        </w:rPr>
      </w:pPr>
      <w:r w:rsidRPr="00233902">
        <w:rPr>
          <w:rFonts w:ascii="Arial" w:hAnsi="Arial" w:cs="Arial"/>
          <w:sz w:val="24"/>
          <w:szCs w:val="24"/>
        </w:rPr>
        <w:t>Minutes and the action log will be sent out 5 working days after the meeting.</w:t>
      </w:r>
    </w:p>
    <w:p w:rsidR="00DB4C60" w:rsidRPr="00233902" w:rsidRDefault="00DB4C60" w:rsidP="00DB4C60">
      <w:pPr>
        <w:pStyle w:val="Heading1"/>
        <w:numPr>
          <w:ilvl w:val="0"/>
          <w:numId w:val="0"/>
        </w:numPr>
        <w:jc w:val="both"/>
        <w:rPr>
          <w:sz w:val="24"/>
          <w:szCs w:val="24"/>
        </w:rPr>
      </w:pPr>
      <w:bookmarkStart w:id="8" w:name="_Toc43292472"/>
    </w:p>
    <w:p w:rsidR="00C04747" w:rsidRPr="00233902" w:rsidRDefault="00C04747" w:rsidP="00C04747">
      <w:pPr>
        <w:pStyle w:val="Heading1"/>
        <w:numPr>
          <w:ilvl w:val="0"/>
          <w:numId w:val="1"/>
        </w:numPr>
        <w:jc w:val="both"/>
        <w:rPr>
          <w:color w:val="1F3864" w:themeColor="accent1" w:themeShade="80"/>
          <w:sz w:val="24"/>
          <w:szCs w:val="24"/>
        </w:rPr>
      </w:pPr>
      <w:r w:rsidRPr="00233902">
        <w:rPr>
          <w:color w:val="1F3864" w:themeColor="accent1" w:themeShade="80"/>
          <w:sz w:val="24"/>
          <w:szCs w:val="24"/>
        </w:rPr>
        <w:t>Dispute resolution:</w:t>
      </w:r>
    </w:p>
    <w:p w:rsidR="00C04747" w:rsidRPr="00233902" w:rsidRDefault="00C04747" w:rsidP="00C04747">
      <w:pPr>
        <w:jc w:val="both"/>
        <w:rPr>
          <w:rFonts w:ascii="Arial" w:hAnsi="Arial" w:cs="Arial"/>
          <w:sz w:val="24"/>
          <w:szCs w:val="24"/>
        </w:rPr>
      </w:pPr>
      <w:r w:rsidRPr="00233902">
        <w:rPr>
          <w:rFonts w:ascii="Arial" w:hAnsi="Arial" w:cs="Arial"/>
          <w:sz w:val="24"/>
          <w:szCs w:val="24"/>
        </w:rPr>
        <w:t xml:space="preserve">Partners will attempt to resolve in good faith any dispute between them in respect of </w:t>
      </w:r>
      <w:r w:rsidR="00DB4C60" w:rsidRPr="00233902">
        <w:rPr>
          <w:rFonts w:ascii="Arial" w:hAnsi="Arial" w:cs="Arial"/>
          <w:sz w:val="24"/>
          <w:szCs w:val="24"/>
        </w:rPr>
        <w:t>Women’s</w:t>
      </w:r>
      <w:r w:rsidRPr="00233902">
        <w:rPr>
          <w:rFonts w:ascii="Arial" w:hAnsi="Arial" w:cs="Arial"/>
          <w:sz w:val="24"/>
          <w:szCs w:val="24"/>
        </w:rPr>
        <w:t xml:space="preserve"> Health Board (or other Partnership-related) decisions, in line with the Principles, Values and Behaviours agreed by the Board. </w:t>
      </w:r>
    </w:p>
    <w:p w:rsidR="00DB4C60" w:rsidRPr="00233902" w:rsidRDefault="00C04747" w:rsidP="003C6774">
      <w:pPr>
        <w:spacing w:line="240" w:lineRule="auto"/>
        <w:jc w:val="both"/>
        <w:rPr>
          <w:rFonts w:ascii="Arial" w:hAnsi="Arial" w:cs="Arial"/>
          <w:sz w:val="24"/>
          <w:szCs w:val="24"/>
        </w:rPr>
      </w:pPr>
      <w:r w:rsidRPr="00233902">
        <w:rPr>
          <w:rFonts w:ascii="Arial" w:hAnsi="Arial" w:cs="Arial"/>
          <w:sz w:val="24"/>
          <w:szCs w:val="24"/>
        </w:rPr>
        <w:t xml:space="preserve">The Board will apply a dispute resolution process to resolve any issues which cannot otherwise be agreed through these arrangements. </w:t>
      </w:r>
    </w:p>
    <w:p w:rsidR="00C04747" w:rsidRPr="00233902" w:rsidRDefault="00C04747" w:rsidP="003C6774">
      <w:pPr>
        <w:spacing w:line="240" w:lineRule="auto"/>
        <w:jc w:val="both"/>
        <w:rPr>
          <w:rFonts w:ascii="Arial" w:hAnsi="Arial" w:cs="Arial"/>
          <w:sz w:val="24"/>
          <w:szCs w:val="24"/>
        </w:rPr>
      </w:pPr>
      <w:r w:rsidRPr="00233902">
        <w:rPr>
          <w:rFonts w:ascii="Arial" w:hAnsi="Arial" w:cs="Arial"/>
          <w:sz w:val="24"/>
          <w:szCs w:val="24"/>
        </w:rPr>
        <w:t xml:space="preserve">As decisions made by the </w:t>
      </w:r>
      <w:r w:rsidR="00DB4C60" w:rsidRPr="00233902">
        <w:rPr>
          <w:rFonts w:ascii="Arial" w:hAnsi="Arial" w:cs="Arial"/>
          <w:sz w:val="24"/>
          <w:szCs w:val="24"/>
        </w:rPr>
        <w:t>Women’s</w:t>
      </w:r>
      <w:r w:rsidRPr="00233902">
        <w:rPr>
          <w:rFonts w:ascii="Arial" w:hAnsi="Arial" w:cs="Arial"/>
          <w:sz w:val="24"/>
          <w:szCs w:val="24"/>
        </w:rPr>
        <w:t xml:space="preserve"> Health Board do not impact on the statutory responsibilities of individual organisations, partners will be expected to apply shared Values and Behaviours and come to a mutual agreement through the dispute resolution process.</w:t>
      </w:r>
    </w:p>
    <w:bookmarkEnd w:id="8"/>
    <w:p w:rsidR="00190EA3" w:rsidRPr="00233902" w:rsidRDefault="00190EA3">
      <w:pPr>
        <w:rPr>
          <w:rFonts w:ascii="Arial" w:hAnsi="Arial" w:cs="Arial"/>
          <w:sz w:val="24"/>
          <w:szCs w:val="24"/>
        </w:rPr>
      </w:pPr>
    </w:p>
    <w:p w:rsidR="00B17A56" w:rsidRPr="00233902" w:rsidRDefault="00B17A56" w:rsidP="00B17A56">
      <w:pPr>
        <w:pStyle w:val="Standard"/>
        <w:numPr>
          <w:ilvl w:val="0"/>
          <w:numId w:val="1"/>
        </w:numPr>
        <w:spacing w:after="0"/>
        <w:jc w:val="both"/>
        <w:rPr>
          <w:rFonts w:ascii="Arial" w:hAnsi="Arial" w:cs="Arial"/>
          <w:color w:val="1F3864" w:themeColor="accent1" w:themeShade="80"/>
          <w:sz w:val="24"/>
          <w:szCs w:val="24"/>
        </w:rPr>
      </w:pPr>
      <w:r w:rsidRPr="00233902">
        <w:rPr>
          <w:rFonts w:ascii="Arial" w:hAnsi="Arial" w:cs="Arial"/>
          <w:b/>
          <w:bCs/>
          <w:color w:val="1F3864" w:themeColor="accent1" w:themeShade="80"/>
          <w:sz w:val="24"/>
          <w:szCs w:val="24"/>
        </w:rPr>
        <w:t>Declaration of Interest</w:t>
      </w:r>
    </w:p>
    <w:p w:rsidR="00B17A56" w:rsidRPr="00233902" w:rsidRDefault="00B17A56" w:rsidP="00B17A56">
      <w:pPr>
        <w:pStyle w:val="Standard"/>
        <w:keepNext/>
        <w:keepLines/>
        <w:spacing w:after="120" w:line="240" w:lineRule="auto"/>
        <w:jc w:val="both"/>
        <w:rPr>
          <w:rFonts w:ascii="Arial" w:hAnsi="Arial" w:cs="Arial"/>
          <w:sz w:val="24"/>
          <w:szCs w:val="24"/>
        </w:rPr>
      </w:pPr>
      <w:r w:rsidRPr="00233902">
        <w:rPr>
          <w:rFonts w:ascii="Arial" w:hAnsi="Arial" w:cs="Arial"/>
          <w:sz w:val="24"/>
          <w:szCs w:val="24"/>
        </w:rPr>
        <w:t xml:space="preserve"> All new declarations of interest must be notified to the Chair within 28 days of a member taking office of any interests requiring registrations, or within 28 days of a change to a member’s registered interests.</w:t>
      </w:r>
    </w:p>
    <w:p w:rsidR="00B17A56" w:rsidRPr="00233902" w:rsidRDefault="00B17A56" w:rsidP="00B17A56">
      <w:pPr>
        <w:pStyle w:val="Standard"/>
        <w:keepNext/>
        <w:keepLines/>
        <w:spacing w:after="120" w:line="240" w:lineRule="auto"/>
        <w:jc w:val="both"/>
        <w:rPr>
          <w:rFonts w:ascii="Arial" w:hAnsi="Arial" w:cs="Arial"/>
          <w:sz w:val="24"/>
          <w:szCs w:val="24"/>
        </w:rPr>
      </w:pPr>
      <w:r w:rsidRPr="00233902">
        <w:rPr>
          <w:rFonts w:ascii="Arial" w:hAnsi="Arial" w:cs="Arial"/>
          <w:sz w:val="24"/>
          <w:szCs w:val="24"/>
        </w:rPr>
        <w:t>Declaration of Interest processes will align to ICB arrangements once they have been formally accepted.</w:t>
      </w:r>
    </w:p>
    <w:p w:rsidR="00190EA3" w:rsidRPr="00233902" w:rsidRDefault="00190EA3">
      <w:pPr>
        <w:rPr>
          <w:rFonts w:ascii="Arial" w:hAnsi="Arial" w:cs="Arial"/>
          <w:sz w:val="24"/>
          <w:szCs w:val="24"/>
        </w:rPr>
      </w:pPr>
    </w:p>
    <w:p w:rsidR="00190EA3" w:rsidRPr="00233902" w:rsidRDefault="00190EA3">
      <w:pPr>
        <w:rPr>
          <w:rFonts w:ascii="Arial" w:hAnsi="Arial" w:cs="Arial"/>
          <w:color w:val="0B0C0C"/>
          <w:sz w:val="24"/>
          <w:szCs w:val="24"/>
          <w:shd w:val="clear" w:color="auto" w:fill="FFFFFF"/>
        </w:rPr>
      </w:pPr>
    </w:p>
    <w:p w:rsidR="00447706" w:rsidRPr="00233902" w:rsidRDefault="00447706">
      <w:pPr>
        <w:rPr>
          <w:rFonts w:ascii="Arial" w:hAnsi="Arial" w:cs="Arial"/>
          <w:b/>
          <w:bCs/>
          <w:color w:val="0B0C0C"/>
          <w:sz w:val="24"/>
          <w:szCs w:val="24"/>
          <w:shd w:val="clear" w:color="auto" w:fill="FFFFFF"/>
        </w:rPr>
      </w:pPr>
    </w:p>
    <w:p w:rsidR="00447706" w:rsidRPr="00233902" w:rsidRDefault="00447706">
      <w:pPr>
        <w:rPr>
          <w:rFonts w:ascii="Arial" w:hAnsi="Arial" w:cs="Arial"/>
          <w:b/>
          <w:bCs/>
          <w:color w:val="0B0C0C"/>
          <w:sz w:val="24"/>
          <w:szCs w:val="24"/>
          <w:shd w:val="clear" w:color="auto" w:fill="FFFFFF"/>
        </w:rPr>
      </w:pPr>
    </w:p>
    <w:p w:rsidR="00447706" w:rsidRPr="00233902" w:rsidRDefault="00447706">
      <w:pPr>
        <w:rPr>
          <w:rFonts w:ascii="Arial" w:hAnsi="Arial" w:cs="Arial"/>
          <w:b/>
          <w:bCs/>
          <w:color w:val="0B0C0C"/>
          <w:sz w:val="24"/>
          <w:szCs w:val="24"/>
          <w:shd w:val="clear" w:color="auto" w:fill="FFFFFF"/>
        </w:rPr>
      </w:pPr>
    </w:p>
    <w:p w:rsidR="00447706" w:rsidRPr="00233902" w:rsidRDefault="00447706">
      <w:pPr>
        <w:rPr>
          <w:rFonts w:ascii="Arial" w:hAnsi="Arial" w:cs="Arial"/>
          <w:b/>
          <w:bCs/>
          <w:color w:val="0B0C0C"/>
          <w:sz w:val="24"/>
          <w:szCs w:val="24"/>
          <w:shd w:val="clear" w:color="auto" w:fill="FFFFFF"/>
        </w:rPr>
      </w:pPr>
    </w:p>
    <w:p w:rsidR="00447706" w:rsidRPr="00233902" w:rsidRDefault="00447706">
      <w:pPr>
        <w:rPr>
          <w:rFonts w:ascii="Arial" w:hAnsi="Arial" w:cs="Arial"/>
          <w:b/>
          <w:bCs/>
          <w:color w:val="0B0C0C"/>
          <w:sz w:val="24"/>
          <w:szCs w:val="24"/>
          <w:shd w:val="clear" w:color="auto" w:fill="FFFFFF"/>
        </w:rPr>
      </w:pPr>
    </w:p>
    <w:p w:rsidR="00447706" w:rsidRPr="00233902" w:rsidRDefault="00447706">
      <w:pPr>
        <w:rPr>
          <w:rFonts w:ascii="Arial" w:hAnsi="Arial" w:cs="Arial"/>
          <w:b/>
          <w:bCs/>
          <w:color w:val="0B0C0C"/>
          <w:sz w:val="24"/>
          <w:szCs w:val="24"/>
          <w:shd w:val="clear" w:color="auto" w:fill="FFFFFF"/>
        </w:rPr>
      </w:pPr>
    </w:p>
    <w:p w:rsidR="00447706" w:rsidRPr="00233902" w:rsidRDefault="00447706">
      <w:pPr>
        <w:rPr>
          <w:rFonts w:ascii="Arial" w:hAnsi="Arial" w:cs="Arial"/>
          <w:b/>
          <w:bCs/>
          <w:color w:val="0B0C0C"/>
          <w:sz w:val="24"/>
          <w:szCs w:val="24"/>
          <w:shd w:val="clear" w:color="auto" w:fill="FFFFFF"/>
        </w:rPr>
      </w:pPr>
    </w:p>
    <w:p w:rsidR="00447706" w:rsidRPr="00233902" w:rsidRDefault="00447706">
      <w:pPr>
        <w:rPr>
          <w:rFonts w:ascii="Arial" w:hAnsi="Arial" w:cs="Arial"/>
          <w:b/>
          <w:bCs/>
          <w:color w:val="0B0C0C"/>
          <w:sz w:val="24"/>
          <w:szCs w:val="24"/>
          <w:shd w:val="clear" w:color="auto" w:fill="FFFFFF"/>
        </w:rPr>
      </w:pPr>
    </w:p>
    <w:p w:rsidR="00447706" w:rsidRPr="00233902" w:rsidRDefault="00447706">
      <w:pPr>
        <w:rPr>
          <w:rFonts w:ascii="Arial" w:hAnsi="Arial" w:cs="Arial"/>
          <w:b/>
          <w:bCs/>
          <w:color w:val="0B0C0C"/>
          <w:sz w:val="24"/>
          <w:szCs w:val="24"/>
          <w:shd w:val="clear" w:color="auto" w:fill="FFFFFF"/>
        </w:rPr>
      </w:pPr>
    </w:p>
    <w:p w:rsidR="00447706" w:rsidRPr="00233902" w:rsidRDefault="00447706" w:rsidP="00B17A56">
      <w:pPr>
        <w:pStyle w:val="ListParagraph"/>
        <w:numPr>
          <w:ilvl w:val="0"/>
          <w:numId w:val="1"/>
        </w:numPr>
        <w:rPr>
          <w:rFonts w:ascii="Arial" w:hAnsi="Arial" w:cs="Arial"/>
          <w:b/>
          <w:bCs/>
          <w:color w:val="1F3864" w:themeColor="accent1" w:themeShade="80"/>
          <w:sz w:val="24"/>
          <w:szCs w:val="24"/>
          <w:shd w:val="clear" w:color="auto" w:fill="FFFFFF"/>
        </w:rPr>
      </w:pPr>
      <w:r w:rsidRPr="00233902">
        <w:rPr>
          <w:rFonts w:ascii="Arial" w:hAnsi="Arial" w:cs="Arial"/>
          <w:b/>
          <w:bCs/>
          <w:color w:val="1F3864" w:themeColor="accent1" w:themeShade="80"/>
          <w:sz w:val="24"/>
          <w:szCs w:val="24"/>
          <w:shd w:val="clear" w:color="auto" w:fill="FFFFFF"/>
        </w:rPr>
        <w:t>Appendices</w:t>
      </w:r>
    </w:p>
    <w:p w:rsidR="00F50003" w:rsidRPr="00233902" w:rsidRDefault="00B17A56">
      <w:pPr>
        <w:rPr>
          <w:rFonts w:ascii="Arial" w:hAnsi="Arial" w:cs="Arial"/>
          <w:b/>
          <w:bCs/>
          <w:color w:val="1F3864" w:themeColor="accent1" w:themeShade="80"/>
          <w:sz w:val="24"/>
          <w:szCs w:val="24"/>
          <w:shd w:val="clear" w:color="auto" w:fill="FFFFFF"/>
        </w:rPr>
      </w:pPr>
      <w:r w:rsidRPr="00233902">
        <w:rPr>
          <w:rFonts w:ascii="Arial" w:hAnsi="Arial" w:cs="Arial"/>
          <w:b/>
          <w:bCs/>
          <w:color w:val="1F3864" w:themeColor="accent1" w:themeShade="80"/>
          <w:sz w:val="24"/>
          <w:szCs w:val="24"/>
          <w:shd w:val="clear" w:color="auto" w:fill="FFFFFF"/>
        </w:rPr>
        <w:t xml:space="preserve">12.1 </w:t>
      </w:r>
      <w:r w:rsidR="00F50003" w:rsidRPr="00233902">
        <w:rPr>
          <w:rFonts w:ascii="Arial" w:hAnsi="Arial" w:cs="Arial"/>
          <w:b/>
          <w:bCs/>
          <w:color w:val="1F3864" w:themeColor="accent1" w:themeShade="80"/>
          <w:sz w:val="24"/>
          <w:szCs w:val="24"/>
          <w:shd w:val="clear" w:color="auto" w:fill="FFFFFF"/>
        </w:rPr>
        <w:t>References</w:t>
      </w:r>
    </w:p>
    <w:p w:rsidR="00F50003" w:rsidRPr="00233902" w:rsidRDefault="00F50003">
      <w:pPr>
        <w:rPr>
          <w:rFonts w:ascii="Arial" w:hAnsi="Arial" w:cs="Arial"/>
          <w:sz w:val="24"/>
          <w:szCs w:val="24"/>
        </w:rPr>
      </w:pPr>
      <w:r w:rsidRPr="00233902">
        <w:rPr>
          <w:rFonts w:ascii="Arial" w:hAnsi="Arial" w:cs="Arial"/>
          <w:sz w:val="24"/>
          <w:szCs w:val="24"/>
        </w:rPr>
        <w:t xml:space="preserve">Womens health </w:t>
      </w:r>
      <w:r w:rsidR="003F0BE8" w:rsidRPr="00233902">
        <w:rPr>
          <w:rFonts w:ascii="Arial" w:hAnsi="Arial" w:cs="Arial"/>
          <w:sz w:val="24"/>
          <w:szCs w:val="24"/>
        </w:rPr>
        <w:t>Strategy for England (2022)</w:t>
      </w:r>
      <w:r w:rsidR="00447305" w:rsidRPr="00233902">
        <w:rPr>
          <w:rFonts w:ascii="Arial" w:hAnsi="Arial" w:cs="Arial"/>
          <w:sz w:val="24"/>
          <w:szCs w:val="24"/>
        </w:rPr>
        <w:t>, Department of health &amp; Social care,</w:t>
      </w:r>
    </w:p>
    <w:p w:rsidR="00F50003" w:rsidRPr="00233902" w:rsidRDefault="00123D22">
      <w:pPr>
        <w:rPr>
          <w:rFonts w:ascii="Arial" w:hAnsi="Arial" w:cs="Arial"/>
          <w:color w:val="0B0C0C"/>
          <w:sz w:val="24"/>
          <w:szCs w:val="24"/>
          <w:shd w:val="clear" w:color="auto" w:fill="FFFFFF"/>
        </w:rPr>
      </w:pPr>
      <w:hyperlink w:history="1">
        <w:r w:rsidR="00F50003" w:rsidRPr="00233902">
          <w:rPr>
            <w:rStyle w:val="Hyperlink"/>
            <w:rFonts w:ascii="Arial" w:hAnsi="Arial" w:cs="Arial"/>
            <w:sz w:val="24"/>
            <w:szCs w:val="24"/>
          </w:rPr>
          <w:t>Women's Health Strategy for England - GOV.UK (www.gov.uk)</w:t>
        </w:r>
      </w:hyperlink>
    </w:p>
    <w:p w:rsidR="00843CA7" w:rsidRPr="00233902" w:rsidRDefault="00843CA7">
      <w:pPr>
        <w:rPr>
          <w:rFonts w:ascii="Arial" w:hAnsi="Arial" w:cs="Arial"/>
          <w:color w:val="0B0C0C"/>
          <w:sz w:val="24"/>
          <w:szCs w:val="24"/>
          <w:shd w:val="clear" w:color="auto" w:fill="FFFFFF"/>
        </w:rPr>
      </w:pPr>
    </w:p>
    <w:p w:rsidR="00843CA7" w:rsidRPr="00233902" w:rsidRDefault="00151D71">
      <w:pPr>
        <w:rPr>
          <w:rFonts w:ascii="Arial" w:hAnsi="Arial" w:cs="Arial"/>
          <w:color w:val="0B0C0C"/>
          <w:sz w:val="24"/>
          <w:szCs w:val="24"/>
          <w:shd w:val="clear" w:color="auto" w:fill="FFFFFF"/>
        </w:rPr>
      </w:pPr>
      <w:r w:rsidRPr="00233902">
        <w:rPr>
          <w:rFonts w:ascii="Arial" w:hAnsi="Arial" w:cs="Arial"/>
          <w:color w:val="0B0C0C"/>
          <w:sz w:val="24"/>
          <w:szCs w:val="24"/>
          <w:shd w:val="clear" w:color="auto" w:fill="FFFFFF"/>
        </w:rPr>
        <w:t>Women’s health hubs: core specification (2024)</w:t>
      </w:r>
      <w:r w:rsidR="00447305" w:rsidRPr="00233902">
        <w:rPr>
          <w:rFonts w:ascii="Arial" w:hAnsi="Arial" w:cs="Arial"/>
          <w:color w:val="0B0C0C"/>
          <w:sz w:val="24"/>
          <w:szCs w:val="24"/>
          <w:shd w:val="clear" w:color="auto" w:fill="FFFFFF"/>
        </w:rPr>
        <w:t xml:space="preserve">, </w:t>
      </w:r>
      <w:r w:rsidR="00447305" w:rsidRPr="00233902">
        <w:rPr>
          <w:rFonts w:ascii="Arial" w:hAnsi="Arial" w:cs="Arial"/>
          <w:sz w:val="24"/>
          <w:szCs w:val="24"/>
        </w:rPr>
        <w:t>Department of health &amp; Social care,</w:t>
      </w:r>
    </w:p>
    <w:p w:rsidR="00151D71" w:rsidRPr="00233902" w:rsidRDefault="00123D22">
      <w:pPr>
        <w:rPr>
          <w:rFonts w:ascii="Arial" w:hAnsi="Arial" w:cs="Arial"/>
          <w:color w:val="0B0C0C"/>
          <w:sz w:val="24"/>
          <w:szCs w:val="24"/>
          <w:shd w:val="clear" w:color="auto" w:fill="FFFFFF"/>
        </w:rPr>
      </w:pPr>
      <w:hyperlink r:id="rId10" w:anchor="introduction" w:history="1">
        <w:r w:rsidR="00151D71" w:rsidRPr="00233902">
          <w:rPr>
            <w:rStyle w:val="Hyperlink"/>
            <w:rFonts w:ascii="Arial" w:hAnsi="Arial" w:cs="Arial"/>
            <w:sz w:val="24"/>
            <w:szCs w:val="24"/>
          </w:rPr>
          <w:t>Women's health hubs: core specification - GOV.UK (www.gov.uk)</w:t>
        </w:r>
      </w:hyperlink>
    </w:p>
    <w:p w:rsidR="00944FF0" w:rsidRPr="00233902" w:rsidRDefault="00944FF0">
      <w:pPr>
        <w:rPr>
          <w:rFonts w:ascii="Arial" w:hAnsi="Arial" w:cs="Arial"/>
          <w:sz w:val="24"/>
          <w:szCs w:val="24"/>
        </w:rPr>
      </w:pPr>
    </w:p>
    <w:p w:rsidR="00B34B65" w:rsidRPr="00233902" w:rsidRDefault="003E416D">
      <w:pPr>
        <w:rPr>
          <w:rFonts w:ascii="Arial" w:hAnsi="Arial" w:cs="Arial"/>
          <w:sz w:val="24"/>
          <w:szCs w:val="24"/>
        </w:rPr>
      </w:pPr>
      <w:r w:rsidRPr="00233902">
        <w:rPr>
          <w:rFonts w:ascii="Arial" w:hAnsi="Arial" w:cs="Arial"/>
          <w:sz w:val="24"/>
          <w:szCs w:val="24"/>
        </w:rPr>
        <w:t xml:space="preserve">Women’s health hubs: </w:t>
      </w:r>
      <w:r w:rsidR="00B34B65" w:rsidRPr="00233902">
        <w:rPr>
          <w:rFonts w:ascii="Arial" w:hAnsi="Arial" w:cs="Arial"/>
          <w:sz w:val="24"/>
          <w:szCs w:val="24"/>
        </w:rPr>
        <w:t>Cost benefit analysis</w:t>
      </w:r>
      <w:r w:rsidRPr="00233902">
        <w:rPr>
          <w:rFonts w:ascii="Arial" w:hAnsi="Arial" w:cs="Arial"/>
          <w:sz w:val="24"/>
          <w:szCs w:val="24"/>
        </w:rPr>
        <w:t xml:space="preserve"> (2024) Department of health &amp; Social care,</w:t>
      </w:r>
    </w:p>
    <w:p w:rsidR="00B32D99" w:rsidRPr="00233902" w:rsidRDefault="00123D22">
      <w:pPr>
        <w:rPr>
          <w:rFonts w:ascii="Arial" w:hAnsi="Arial" w:cs="Arial"/>
          <w:sz w:val="24"/>
          <w:szCs w:val="24"/>
        </w:rPr>
      </w:pPr>
      <w:hyperlink w:history="1">
        <w:r w:rsidR="00B34B65" w:rsidRPr="00233902">
          <w:rPr>
            <w:rStyle w:val="Hyperlink"/>
            <w:rFonts w:ascii="Arial" w:hAnsi="Arial" w:cs="Arial"/>
            <w:sz w:val="24"/>
            <w:szCs w:val="24"/>
          </w:rPr>
          <w:t>Women's health hubs: cost benefit analysis - GOV.UK (www.gov.uk)</w:t>
        </w:r>
      </w:hyperlink>
    </w:p>
    <w:p w:rsidR="00B32D99" w:rsidRPr="00233902" w:rsidRDefault="00B32D99">
      <w:pPr>
        <w:rPr>
          <w:rFonts w:ascii="Arial" w:hAnsi="Arial" w:cs="Arial"/>
          <w:sz w:val="24"/>
          <w:szCs w:val="24"/>
        </w:rPr>
      </w:pPr>
    </w:p>
    <w:p w:rsidR="00F0222F" w:rsidRPr="00233902" w:rsidRDefault="00F0222F">
      <w:pPr>
        <w:rPr>
          <w:rFonts w:ascii="Arial" w:hAnsi="Arial" w:cs="Arial"/>
          <w:sz w:val="24"/>
          <w:szCs w:val="24"/>
        </w:rPr>
      </w:pPr>
      <w:r w:rsidRPr="00233902">
        <w:rPr>
          <w:rFonts w:ascii="Arial" w:hAnsi="Arial" w:cs="Arial"/>
          <w:sz w:val="24"/>
          <w:szCs w:val="24"/>
        </w:rPr>
        <w:t xml:space="preserve">Better for Women (2019), </w:t>
      </w:r>
      <w:r w:rsidR="0058328D" w:rsidRPr="00233902">
        <w:rPr>
          <w:rFonts w:ascii="Arial" w:hAnsi="Arial" w:cs="Arial"/>
          <w:sz w:val="24"/>
          <w:szCs w:val="24"/>
        </w:rPr>
        <w:t xml:space="preserve">Royal College </w:t>
      </w:r>
      <w:r w:rsidRPr="00233902">
        <w:rPr>
          <w:rFonts w:ascii="Arial" w:hAnsi="Arial" w:cs="Arial"/>
          <w:sz w:val="24"/>
          <w:szCs w:val="24"/>
        </w:rPr>
        <w:t>of Obstetricians and gynaecologists</w:t>
      </w:r>
    </w:p>
    <w:p w:rsidR="00F0222F" w:rsidRPr="00233902" w:rsidRDefault="00123D22">
      <w:pPr>
        <w:rPr>
          <w:rFonts w:ascii="Arial" w:hAnsi="Arial" w:cs="Arial"/>
          <w:sz w:val="24"/>
          <w:szCs w:val="24"/>
        </w:rPr>
      </w:pPr>
      <w:hyperlink r:id="rId11" w:history="1">
        <w:r w:rsidR="00F0222F" w:rsidRPr="00233902">
          <w:rPr>
            <w:rStyle w:val="Hyperlink"/>
            <w:rFonts w:ascii="Arial" w:hAnsi="Arial" w:cs="Arial"/>
            <w:sz w:val="24"/>
            <w:szCs w:val="24"/>
          </w:rPr>
          <w:t>Better for women: Full report (rcog.org.uk)</w:t>
        </w:r>
      </w:hyperlink>
    </w:p>
    <w:sectPr w:rsidR="00F0222F" w:rsidRPr="0023390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3D22" w:rsidRDefault="00123D22" w:rsidP="00D8360A">
      <w:pPr>
        <w:spacing w:after="0" w:line="240" w:lineRule="auto"/>
      </w:pPr>
      <w:r>
        <w:separator/>
      </w:r>
    </w:p>
  </w:endnote>
  <w:endnote w:type="continuationSeparator" w:id="0">
    <w:p w:rsidR="00123D22" w:rsidRDefault="00123D22" w:rsidP="00D8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HGS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7990" w:rsidRDefault="00F97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686540"/>
      <w:docPartObj>
        <w:docPartGallery w:val="Page Numbers (Bottom of Page)"/>
        <w:docPartUnique/>
      </w:docPartObj>
    </w:sdtPr>
    <w:sdtEndPr/>
    <w:sdtContent>
      <w:sdt>
        <w:sdtPr>
          <w:id w:val="-1769616900"/>
          <w:docPartObj>
            <w:docPartGallery w:val="Page Numbers (Top of Page)"/>
            <w:docPartUnique/>
          </w:docPartObj>
        </w:sdtPr>
        <w:sdtEndPr/>
        <w:sdtContent>
          <w:p w:rsidR="00070E85" w:rsidRDefault="00070E85">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960EEF" w:rsidRDefault="00960EEF" w:rsidP="00960EEF">
    <w:pPr>
      <w:pStyle w:val="Footer"/>
      <w:jc w:val="right"/>
    </w:pPr>
    <w:r>
      <w:t>Women’s Health Board ToR V1.0 (22/4/24)</w:t>
    </w:r>
  </w:p>
  <w:p w:rsidR="00B0175E" w:rsidRDefault="00B0175E" w:rsidP="0036246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7990" w:rsidRDefault="00F97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3D22" w:rsidRDefault="00123D22" w:rsidP="00D8360A">
      <w:pPr>
        <w:spacing w:after="0" w:line="240" w:lineRule="auto"/>
      </w:pPr>
      <w:r>
        <w:separator/>
      </w:r>
    </w:p>
  </w:footnote>
  <w:footnote w:type="continuationSeparator" w:id="0">
    <w:p w:rsidR="00123D22" w:rsidRDefault="00123D22" w:rsidP="00D8360A">
      <w:pPr>
        <w:spacing w:after="0" w:line="240" w:lineRule="auto"/>
      </w:pPr>
      <w:r>
        <w:continuationSeparator/>
      </w:r>
    </w:p>
  </w:footnote>
  <w:footnote w:id="1">
    <w:p w:rsidR="00233902" w:rsidRDefault="00233902">
      <w:pPr>
        <w:pStyle w:val="FootnoteText"/>
      </w:pPr>
      <w:r>
        <w:rPr>
          <w:rStyle w:val="FootnoteReference"/>
        </w:rPr>
        <w:footnoteRef/>
      </w:r>
      <w:r>
        <w:t xml:space="preserve"> </w:t>
      </w:r>
      <w:hyperlink r:id="rId1" w:history="1">
        <w:r w:rsidRPr="00A97E69">
          <w:rPr>
            <w:rStyle w:val="Hyperlink"/>
          </w:rPr>
          <w:t>https://www.gov.uk/government/publications/womens-health-hubs-information-and-guidance/womens-health-hubs-core-specification</w:t>
        </w:r>
      </w:hyperlink>
    </w:p>
    <w:p w:rsidR="00233902" w:rsidRDefault="0023390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7990" w:rsidRDefault="00123D22">
    <w:pPr>
      <w:pStyle w:val="Header"/>
    </w:pPr>
    <w:r>
      <w:rPr>
        <w:noProof/>
      </w:rPr>
      <w:pict w14:anchorId="168BD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44813" o:spid="_x0000_s1026"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360A" w:rsidRDefault="00123D22" w:rsidP="00D8360A">
    <w:pPr>
      <w:pStyle w:val="Header"/>
      <w:jc w:val="right"/>
    </w:pPr>
    <w:r>
      <w:rPr>
        <w:noProof/>
      </w:rPr>
      <w:pict w14:anchorId="0D5347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44814" o:spid="_x0000_s1027" type="#_x0000_t136" style="position:absolute;left:0;text-align:left;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8360A">
      <w:rPr>
        <w:noProof/>
      </w:rPr>
      <w:drawing>
        <wp:inline distT="0" distB="0" distL="0" distR="0" wp14:anchorId="4EF82819" wp14:editId="21271FE0">
          <wp:extent cx="1085850" cy="7094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3941" cy="71476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7990" w:rsidRDefault="00123D22">
    <w:pPr>
      <w:pStyle w:val="Header"/>
    </w:pPr>
    <w:r>
      <w:rPr>
        <w:noProof/>
      </w:rPr>
      <w:pict w14:anchorId="74FE9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44812" o:spid="_x0000_s1025"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67666"/>
    <w:multiLevelType w:val="multilevel"/>
    <w:tmpl w:val="E420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10084"/>
    <w:multiLevelType w:val="hybridMultilevel"/>
    <w:tmpl w:val="90E0472C"/>
    <w:lvl w:ilvl="0" w:tplc="6D421A42">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E00CA"/>
    <w:multiLevelType w:val="hybridMultilevel"/>
    <w:tmpl w:val="052A8B20"/>
    <w:lvl w:ilvl="0" w:tplc="E8104994">
      <w:start w:val="1"/>
      <w:numFmt w:val="bullet"/>
      <w:lvlText w:val=""/>
      <w:lvlJc w:val="left"/>
      <w:pPr>
        <w:ind w:left="720" w:hanging="360"/>
      </w:pPr>
      <w:rPr>
        <w:rFonts w:ascii="Symbol" w:hAnsi="Symbol" w:hint="default"/>
        <w:color w:val="4472C4" w:themeColor="accent1"/>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E0BD9"/>
    <w:multiLevelType w:val="multilevel"/>
    <w:tmpl w:val="ED0ED84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18" w:hanging="576"/>
      </w:pPr>
      <w:rPr>
        <w:rFonts w:cs="Times New Roman"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cs="Times New Roman"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CA14FA4"/>
    <w:multiLevelType w:val="hybridMultilevel"/>
    <w:tmpl w:val="0ADC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B4D78"/>
    <w:multiLevelType w:val="hybridMultilevel"/>
    <w:tmpl w:val="4F26F716"/>
    <w:lvl w:ilvl="0" w:tplc="6D421A42">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E23D7E"/>
    <w:multiLevelType w:val="hybridMultilevel"/>
    <w:tmpl w:val="0720A864"/>
    <w:lvl w:ilvl="0" w:tplc="6D421A42">
      <w:start w:val="1"/>
      <w:numFmt w:val="bullet"/>
      <w:lvlText w:val=""/>
      <w:lvlJc w:val="left"/>
      <w:pPr>
        <w:tabs>
          <w:tab w:val="num" w:pos="720"/>
        </w:tabs>
        <w:ind w:left="720" w:hanging="360"/>
      </w:pPr>
      <w:rPr>
        <w:rFonts w:ascii="Symbol" w:hAnsi="Symbol" w:hint="default"/>
        <w:color w:val="4472C4" w:themeColor="accent1"/>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E75696"/>
    <w:multiLevelType w:val="hybridMultilevel"/>
    <w:tmpl w:val="EEA0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6F4D17"/>
    <w:multiLevelType w:val="multilevel"/>
    <w:tmpl w:val="81BC852A"/>
    <w:styleLink w:val="WWNum5"/>
    <w:lvl w:ilvl="0">
      <w:numFmt w:val="bullet"/>
      <w:lvlText w:val="o"/>
      <w:lvlJc w:val="left"/>
      <w:pPr>
        <w:ind w:left="1287" w:hanging="360"/>
      </w:pPr>
      <w:rPr>
        <w:rFonts w:ascii="Courier New" w:hAnsi="Courier New"/>
        <w:color w:val="00000A"/>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9" w15:restartNumberingAfterBreak="0">
    <w:nsid w:val="54C97078"/>
    <w:multiLevelType w:val="hybridMultilevel"/>
    <w:tmpl w:val="457E83CC"/>
    <w:lvl w:ilvl="0" w:tplc="AB4E5D16">
      <w:start w:val="1"/>
      <w:numFmt w:val="decimal"/>
      <w:lvlText w:val="%1)"/>
      <w:lvlJc w:val="left"/>
      <w:pPr>
        <w:ind w:left="720" w:hanging="360"/>
      </w:pPr>
      <w:rPr>
        <w:rFonts w:hint="default"/>
        <w:color w:val="1F3864"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222C25"/>
    <w:multiLevelType w:val="hybridMultilevel"/>
    <w:tmpl w:val="49E2B642"/>
    <w:lvl w:ilvl="0" w:tplc="6D421A42">
      <w:start w:val="1"/>
      <w:numFmt w:val="bullet"/>
      <w:lvlText w:val=""/>
      <w:lvlJc w:val="left"/>
      <w:pPr>
        <w:ind w:left="360" w:hanging="360"/>
      </w:pPr>
      <w:rPr>
        <w:rFonts w:ascii="Symbol" w:hAnsi="Symbol" w:hint="default"/>
        <w:color w:val="4472C4"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CC15343"/>
    <w:multiLevelType w:val="hybridMultilevel"/>
    <w:tmpl w:val="FC1C68FE"/>
    <w:lvl w:ilvl="0" w:tplc="6D421A42">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938119">
    <w:abstractNumId w:val="9"/>
  </w:num>
  <w:num w:numId="2" w16cid:durableId="1287007231">
    <w:abstractNumId w:val="2"/>
  </w:num>
  <w:num w:numId="3" w16cid:durableId="2033141691">
    <w:abstractNumId w:val="0"/>
  </w:num>
  <w:num w:numId="4" w16cid:durableId="882450912">
    <w:abstractNumId w:val="7"/>
  </w:num>
  <w:num w:numId="5" w16cid:durableId="235825933">
    <w:abstractNumId w:val="4"/>
  </w:num>
  <w:num w:numId="6" w16cid:durableId="807209000">
    <w:abstractNumId w:val="10"/>
  </w:num>
  <w:num w:numId="7" w16cid:durableId="979843575">
    <w:abstractNumId w:val="3"/>
  </w:num>
  <w:num w:numId="8" w16cid:durableId="39982084">
    <w:abstractNumId w:val="6"/>
  </w:num>
  <w:num w:numId="9" w16cid:durableId="1647130227">
    <w:abstractNumId w:val="1"/>
  </w:num>
  <w:num w:numId="10" w16cid:durableId="1990547419">
    <w:abstractNumId w:val="5"/>
  </w:num>
  <w:num w:numId="11" w16cid:durableId="895698673">
    <w:abstractNumId w:val="8"/>
  </w:num>
  <w:num w:numId="12" w16cid:durableId="15492998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35"/>
    <w:rsid w:val="00002513"/>
    <w:rsid w:val="000273B8"/>
    <w:rsid w:val="0003091C"/>
    <w:rsid w:val="00044EAE"/>
    <w:rsid w:val="000600AB"/>
    <w:rsid w:val="0007032B"/>
    <w:rsid w:val="00070E85"/>
    <w:rsid w:val="00071BD8"/>
    <w:rsid w:val="000C5CF3"/>
    <w:rsid w:val="000D1806"/>
    <w:rsid w:val="000E29EC"/>
    <w:rsid w:val="000F1285"/>
    <w:rsid w:val="000F15F3"/>
    <w:rsid w:val="00102372"/>
    <w:rsid w:val="00106B71"/>
    <w:rsid w:val="00107EC0"/>
    <w:rsid w:val="001100CB"/>
    <w:rsid w:val="001108B7"/>
    <w:rsid w:val="00123B55"/>
    <w:rsid w:val="00123D22"/>
    <w:rsid w:val="00124DF3"/>
    <w:rsid w:val="00126E35"/>
    <w:rsid w:val="00141FF9"/>
    <w:rsid w:val="001515EF"/>
    <w:rsid w:val="00151D71"/>
    <w:rsid w:val="0017341E"/>
    <w:rsid w:val="00177EDB"/>
    <w:rsid w:val="00190EA3"/>
    <w:rsid w:val="00194ACD"/>
    <w:rsid w:val="00196C50"/>
    <w:rsid w:val="001A7BA0"/>
    <w:rsid w:val="001E1C59"/>
    <w:rsid w:val="001F19A9"/>
    <w:rsid w:val="001F4939"/>
    <w:rsid w:val="001F7EB8"/>
    <w:rsid w:val="00222BB0"/>
    <w:rsid w:val="002237F2"/>
    <w:rsid w:val="00233902"/>
    <w:rsid w:val="002363C0"/>
    <w:rsid w:val="00256CCA"/>
    <w:rsid w:val="002C10E4"/>
    <w:rsid w:val="002E38A6"/>
    <w:rsid w:val="002F48C8"/>
    <w:rsid w:val="00321E6A"/>
    <w:rsid w:val="00331253"/>
    <w:rsid w:val="00340B8F"/>
    <w:rsid w:val="00344432"/>
    <w:rsid w:val="00346663"/>
    <w:rsid w:val="00355A17"/>
    <w:rsid w:val="00362464"/>
    <w:rsid w:val="00376AB8"/>
    <w:rsid w:val="00380D11"/>
    <w:rsid w:val="003A0646"/>
    <w:rsid w:val="003A3AB3"/>
    <w:rsid w:val="003C371B"/>
    <w:rsid w:val="003C6774"/>
    <w:rsid w:val="003E416D"/>
    <w:rsid w:val="003E4740"/>
    <w:rsid w:val="003F0BE8"/>
    <w:rsid w:val="003F4299"/>
    <w:rsid w:val="003F5CF2"/>
    <w:rsid w:val="004037C7"/>
    <w:rsid w:val="00406CFF"/>
    <w:rsid w:val="00424853"/>
    <w:rsid w:val="004361B7"/>
    <w:rsid w:val="00447305"/>
    <w:rsid w:val="00447706"/>
    <w:rsid w:val="004531C0"/>
    <w:rsid w:val="004533B6"/>
    <w:rsid w:val="0046015C"/>
    <w:rsid w:val="004718E4"/>
    <w:rsid w:val="004732B6"/>
    <w:rsid w:val="0048110A"/>
    <w:rsid w:val="00497378"/>
    <w:rsid w:val="004A783B"/>
    <w:rsid w:val="004C27E7"/>
    <w:rsid w:val="004C3859"/>
    <w:rsid w:val="004C4066"/>
    <w:rsid w:val="004F2C8E"/>
    <w:rsid w:val="004F5CFF"/>
    <w:rsid w:val="004F6237"/>
    <w:rsid w:val="00515A80"/>
    <w:rsid w:val="005202EC"/>
    <w:rsid w:val="00532AD2"/>
    <w:rsid w:val="00550364"/>
    <w:rsid w:val="005511ED"/>
    <w:rsid w:val="00581E26"/>
    <w:rsid w:val="0058328D"/>
    <w:rsid w:val="0058499A"/>
    <w:rsid w:val="00590D14"/>
    <w:rsid w:val="00595334"/>
    <w:rsid w:val="005C7E35"/>
    <w:rsid w:val="005D3F4B"/>
    <w:rsid w:val="005E13D8"/>
    <w:rsid w:val="005E72A7"/>
    <w:rsid w:val="005F2CDE"/>
    <w:rsid w:val="005F4A6E"/>
    <w:rsid w:val="00605B5A"/>
    <w:rsid w:val="00646ED3"/>
    <w:rsid w:val="00660AC1"/>
    <w:rsid w:val="00674240"/>
    <w:rsid w:val="006764AF"/>
    <w:rsid w:val="0068387E"/>
    <w:rsid w:val="006B2FA9"/>
    <w:rsid w:val="006C1B94"/>
    <w:rsid w:val="006C52AE"/>
    <w:rsid w:val="006C56BD"/>
    <w:rsid w:val="006E3AB3"/>
    <w:rsid w:val="006F0748"/>
    <w:rsid w:val="006F4FD1"/>
    <w:rsid w:val="00704D4D"/>
    <w:rsid w:val="00707138"/>
    <w:rsid w:val="00707678"/>
    <w:rsid w:val="00712729"/>
    <w:rsid w:val="00715FDB"/>
    <w:rsid w:val="0074051E"/>
    <w:rsid w:val="00744A3D"/>
    <w:rsid w:val="007475CE"/>
    <w:rsid w:val="0075365E"/>
    <w:rsid w:val="00757417"/>
    <w:rsid w:val="00767B37"/>
    <w:rsid w:val="007A61A0"/>
    <w:rsid w:val="007C7C29"/>
    <w:rsid w:val="007D25FB"/>
    <w:rsid w:val="007E7555"/>
    <w:rsid w:val="007F27BF"/>
    <w:rsid w:val="007F354B"/>
    <w:rsid w:val="00800D1E"/>
    <w:rsid w:val="00815E0D"/>
    <w:rsid w:val="0081702A"/>
    <w:rsid w:val="00821384"/>
    <w:rsid w:val="0082183F"/>
    <w:rsid w:val="008247A5"/>
    <w:rsid w:val="00843CA7"/>
    <w:rsid w:val="008C0D73"/>
    <w:rsid w:val="008C6DF7"/>
    <w:rsid w:val="008E0E0E"/>
    <w:rsid w:val="008E223D"/>
    <w:rsid w:val="0091118A"/>
    <w:rsid w:val="00914783"/>
    <w:rsid w:val="009352F5"/>
    <w:rsid w:val="00936732"/>
    <w:rsid w:val="0094374D"/>
    <w:rsid w:val="00943C4A"/>
    <w:rsid w:val="00944FF0"/>
    <w:rsid w:val="00960EEF"/>
    <w:rsid w:val="009764EC"/>
    <w:rsid w:val="00990CB9"/>
    <w:rsid w:val="009B6CDD"/>
    <w:rsid w:val="009D5A99"/>
    <w:rsid w:val="009F3724"/>
    <w:rsid w:val="00A009A8"/>
    <w:rsid w:val="00A0461B"/>
    <w:rsid w:val="00A1326C"/>
    <w:rsid w:val="00A16183"/>
    <w:rsid w:val="00AB3A8E"/>
    <w:rsid w:val="00AB4AFA"/>
    <w:rsid w:val="00AB57B6"/>
    <w:rsid w:val="00AD5E6D"/>
    <w:rsid w:val="00AD627A"/>
    <w:rsid w:val="00B0175E"/>
    <w:rsid w:val="00B17A56"/>
    <w:rsid w:val="00B31E7A"/>
    <w:rsid w:val="00B32D99"/>
    <w:rsid w:val="00B34B65"/>
    <w:rsid w:val="00B41FF2"/>
    <w:rsid w:val="00B515E7"/>
    <w:rsid w:val="00B6677A"/>
    <w:rsid w:val="00B76353"/>
    <w:rsid w:val="00BA323F"/>
    <w:rsid w:val="00BB7016"/>
    <w:rsid w:val="00BD0E4B"/>
    <w:rsid w:val="00BD3130"/>
    <w:rsid w:val="00C04747"/>
    <w:rsid w:val="00C107F8"/>
    <w:rsid w:val="00C43571"/>
    <w:rsid w:val="00C46C96"/>
    <w:rsid w:val="00C51757"/>
    <w:rsid w:val="00C67DD9"/>
    <w:rsid w:val="00C87849"/>
    <w:rsid w:val="00CA6BA1"/>
    <w:rsid w:val="00CB594E"/>
    <w:rsid w:val="00CB6C9F"/>
    <w:rsid w:val="00D11942"/>
    <w:rsid w:val="00D2197C"/>
    <w:rsid w:val="00D342A2"/>
    <w:rsid w:val="00D445B4"/>
    <w:rsid w:val="00D50AE7"/>
    <w:rsid w:val="00D56C98"/>
    <w:rsid w:val="00D8360A"/>
    <w:rsid w:val="00DB4C60"/>
    <w:rsid w:val="00DC7847"/>
    <w:rsid w:val="00DD7FF6"/>
    <w:rsid w:val="00DE61E3"/>
    <w:rsid w:val="00E03571"/>
    <w:rsid w:val="00E167A1"/>
    <w:rsid w:val="00E21C49"/>
    <w:rsid w:val="00E24A08"/>
    <w:rsid w:val="00E33D15"/>
    <w:rsid w:val="00E36AB6"/>
    <w:rsid w:val="00E46280"/>
    <w:rsid w:val="00E620D7"/>
    <w:rsid w:val="00E66B85"/>
    <w:rsid w:val="00E67A68"/>
    <w:rsid w:val="00E705AE"/>
    <w:rsid w:val="00E757D6"/>
    <w:rsid w:val="00E76135"/>
    <w:rsid w:val="00E7710F"/>
    <w:rsid w:val="00E91BB8"/>
    <w:rsid w:val="00EB2A19"/>
    <w:rsid w:val="00EB2C2E"/>
    <w:rsid w:val="00EC4BFE"/>
    <w:rsid w:val="00EC74E5"/>
    <w:rsid w:val="00ED1ACC"/>
    <w:rsid w:val="00EF1A65"/>
    <w:rsid w:val="00F0222F"/>
    <w:rsid w:val="00F346D3"/>
    <w:rsid w:val="00F42301"/>
    <w:rsid w:val="00F50003"/>
    <w:rsid w:val="00F546CC"/>
    <w:rsid w:val="00F6797E"/>
    <w:rsid w:val="00F87512"/>
    <w:rsid w:val="00F905D3"/>
    <w:rsid w:val="00F936DE"/>
    <w:rsid w:val="00F97990"/>
    <w:rsid w:val="00FA0C27"/>
    <w:rsid w:val="00FD512E"/>
    <w:rsid w:val="00FE7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ACD56"/>
  <w15:docId w15:val="{EA278908-2334-4CD2-B691-10F3B6DE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Heading1a,h1,numbered indent 1,ni1,Part,Class Heading,Para indent 0,Section Heading,Numbered - 1,Paragraph No,H1,Heading 1(Report Only),A MAJOR/BOLD,PA Chapter"/>
    <w:basedOn w:val="Normal"/>
    <w:next w:val="Normal"/>
    <w:link w:val="Heading1Char"/>
    <w:qFormat/>
    <w:rsid w:val="00C04747"/>
    <w:pPr>
      <w:numPr>
        <w:numId w:val="7"/>
      </w:numPr>
      <w:spacing w:after="0" w:line="240" w:lineRule="auto"/>
      <w:outlineLvl w:val="0"/>
    </w:pPr>
    <w:rPr>
      <w:rFonts w:ascii="Arial" w:eastAsia="Times New Roman" w:hAnsi="Arial" w:cs="Arial"/>
      <w:b/>
      <w:bCs/>
      <w:color w:val="0072C6"/>
      <w:kern w:val="32"/>
      <w:sz w:val="32"/>
      <w:szCs w:val="32"/>
      <w14:ligatures w14:val="none"/>
    </w:rPr>
  </w:style>
  <w:style w:type="paragraph" w:styleId="Heading2">
    <w:name w:val="heading 2"/>
    <w:basedOn w:val="Normal"/>
    <w:next w:val="Normal"/>
    <w:link w:val="Heading2Char"/>
    <w:unhideWhenUsed/>
    <w:qFormat/>
    <w:rsid w:val="00C04747"/>
    <w:pPr>
      <w:numPr>
        <w:ilvl w:val="1"/>
        <w:numId w:val="7"/>
      </w:numPr>
      <w:spacing w:after="0" w:line="360" w:lineRule="auto"/>
      <w:outlineLvl w:val="1"/>
    </w:pPr>
    <w:rPr>
      <w:rFonts w:ascii="Arial" w:eastAsia="MS Mincho" w:hAnsi="Arial" w:cs="Times New Roman"/>
      <w:b/>
      <w:bCs/>
      <w:iCs/>
      <w:color w:val="A00054"/>
      <w:kern w:val="0"/>
      <w:sz w:val="28"/>
      <w:szCs w:val="28"/>
      <w14:ligatures w14:val="none"/>
    </w:rPr>
  </w:style>
  <w:style w:type="paragraph" w:styleId="Heading3">
    <w:name w:val="heading 3"/>
    <w:basedOn w:val="Normal"/>
    <w:next w:val="Normal"/>
    <w:link w:val="Heading3Char"/>
    <w:unhideWhenUsed/>
    <w:qFormat/>
    <w:rsid w:val="00C04747"/>
    <w:pPr>
      <w:numPr>
        <w:ilvl w:val="2"/>
        <w:numId w:val="7"/>
      </w:numPr>
      <w:spacing w:after="0" w:line="360" w:lineRule="auto"/>
      <w:outlineLvl w:val="2"/>
    </w:pPr>
    <w:rPr>
      <w:rFonts w:ascii="Arial" w:eastAsia="Times New Roman" w:hAnsi="Arial" w:cs="Times New Roman"/>
      <w:b/>
      <w:bCs/>
      <w:kern w:val="0"/>
      <w:sz w:val="24"/>
      <w:szCs w:val="26"/>
      <w14:ligatures w14:val="none"/>
    </w:rPr>
  </w:style>
  <w:style w:type="paragraph" w:styleId="Heading4">
    <w:name w:val="heading 4"/>
    <w:aliases w:val="Topic,Para indent 3,H4,Sub-Minor"/>
    <w:basedOn w:val="Normal"/>
    <w:next w:val="Normal"/>
    <w:link w:val="Heading4Char"/>
    <w:unhideWhenUsed/>
    <w:qFormat/>
    <w:rsid w:val="00C04747"/>
    <w:pPr>
      <w:keepNext/>
      <w:keepLines/>
      <w:numPr>
        <w:ilvl w:val="3"/>
        <w:numId w:val="7"/>
      </w:numPr>
      <w:spacing w:before="200" w:after="0" w:line="240" w:lineRule="auto"/>
      <w:outlineLvl w:val="3"/>
    </w:pPr>
    <w:rPr>
      <w:rFonts w:asciiTheme="majorHAnsi" w:eastAsiaTheme="majorEastAsia" w:hAnsiTheme="majorHAnsi" w:cstheme="majorBidi"/>
      <w:b/>
      <w:i/>
      <w:iCs/>
      <w:color w:val="4472C4" w:themeColor="accent1"/>
      <w:kern w:val="0"/>
      <w:sz w:val="24"/>
      <w:szCs w:val="26"/>
      <w14:ligatures w14:val="none"/>
    </w:rPr>
  </w:style>
  <w:style w:type="paragraph" w:styleId="Heading5">
    <w:name w:val="heading 5"/>
    <w:aliases w:val="Section,Block Label,quote,Bullet1,Bullet2,Level 3 - i,T:,PA Pico Section"/>
    <w:basedOn w:val="Normal"/>
    <w:next w:val="Normal"/>
    <w:link w:val="Heading5Char"/>
    <w:unhideWhenUsed/>
    <w:qFormat/>
    <w:rsid w:val="00C04747"/>
    <w:pPr>
      <w:keepNext/>
      <w:keepLines/>
      <w:numPr>
        <w:ilvl w:val="4"/>
        <w:numId w:val="7"/>
      </w:numPr>
      <w:spacing w:before="200" w:after="0" w:line="240" w:lineRule="auto"/>
      <w:outlineLvl w:val="4"/>
    </w:pPr>
    <w:rPr>
      <w:rFonts w:asciiTheme="majorHAnsi" w:eastAsiaTheme="majorEastAsia" w:hAnsiTheme="majorHAnsi" w:cstheme="majorBidi"/>
      <w:bCs/>
      <w:color w:val="1F3763" w:themeColor="accent1" w:themeShade="7F"/>
      <w:kern w:val="0"/>
      <w:sz w:val="24"/>
      <w:szCs w:val="26"/>
      <w14:ligatures w14:val="none"/>
    </w:rPr>
  </w:style>
  <w:style w:type="paragraph" w:styleId="Heading6">
    <w:name w:val="heading 6"/>
    <w:aliases w:val="Sub Label,bullet2,Legal Level 1.,Level 5.1,Bp,PA Appendix"/>
    <w:basedOn w:val="Normal"/>
    <w:next w:val="Normal"/>
    <w:link w:val="Heading6Char"/>
    <w:unhideWhenUsed/>
    <w:qFormat/>
    <w:rsid w:val="00C04747"/>
    <w:pPr>
      <w:keepNext/>
      <w:keepLines/>
      <w:numPr>
        <w:ilvl w:val="5"/>
        <w:numId w:val="7"/>
      </w:numPr>
      <w:spacing w:before="200" w:after="0" w:line="240" w:lineRule="auto"/>
      <w:outlineLvl w:val="5"/>
    </w:pPr>
    <w:rPr>
      <w:rFonts w:asciiTheme="majorHAnsi" w:eastAsiaTheme="majorEastAsia" w:hAnsiTheme="majorHAnsi" w:cstheme="majorBidi"/>
      <w:bCs/>
      <w:i/>
      <w:iCs/>
      <w:color w:val="1F3763" w:themeColor="accent1" w:themeShade="7F"/>
      <w:kern w:val="0"/>
      <w:sz w:val="24"/>
      <w:szCs w:val="26"/>
      <w14:ligatures w14:val="none"/>
    </w:rPr>
  </w:style>
  <w:style w:type="paragraph" w:styleId="Heading7">
    <w:name w:val="heading 7"/>
    <w:aliases w:val="Legal Level 1.1.,PA Appendix Major"/>
    <w:basedOn w:val="Normal"/>
    <w:next w:val="Normal"/>
    <w:link w:val="Heading7Char"/>
    <w:unhideWhenUsed/>
    <w:qFormat/>
    <w:rsid w:val="00C04747"/>
    <w:pPr>
      <w:keepNext/>
      <w:keepLines/>
      <w:numPr>
        <w:ilvl w:val="6"/>
        <w:numId w:val="7"/>
      </w:numPr>
      <w:spacing w:before="200" w:after="0" w:line="240" w:lineRule="auto"/>
      <w:outlineLvl w:val="6"/>
    </w:pPr>
    <w:rPr>
      <w:rFonts w:asciiTheme="majorHAnsi" w:eastAsiaTheme="majorEastAsia" w:hAnsiTheme="majorHAnsi" w:cstheme="majorBidi"/>
      <w:bCs/>
      <w:i/>
      <w:iCs/>
      <w:color w:val="404040" w:themeColor="text1" w:themeTint="BF"/>
      <w:kern w:val="0"/>
      <w:sz w:val="24"/>
      <w:szCs w:val="26"/>
      <w14:ligatures w14:val="none"/>
    </w:rPr>
  </w:style>
  <w:style w:type="paragraph" w:styleId="Heading8">
    <w:name w:val="heading 8"/>
    <w:aliases w:val="Legal Level 1.1.1.,PA Appendix Minor"/>
    <w:basedOn w:val="Normal"/>
    <w:next w:val="Normal"/>
    <w:link w:val="Heading8Char"/>
    <w:unhideWhenUsed/>
    <w:qFormat/>
    <w:rsid w:val="00C04747"/>
    <w:pPr>
      <w:keepNext/>
      <w:keepLines/>
      <w:numPr>
        <w:ilvl w:val="7"/>
        <w:numId w:val="7"/>
      </w:numPr>
      <w:spacing w:before="200" w:after="0" w:line="240" w:lineRule="auto"/>
      <w:outlineLvl w:val="7"/>
    </w:pPr>
    <w:rPr>
      <w:rFonts w:asciiTheme="majorHAnsi" w:eastAsiaTheme="majorEastAsia" w:hAnsiTheme="majorHAnsi" w:cstheme="majorBidi"/>
      <w:bCs/>
      <w:color w:val="404040" w:themeColor="text1" w:themeTint="BF"/>
      <w:kern w:val="0"/>
      <w:sz w:val="20"/>
      <w:szCs w:val="20"/>
      <w14:ligatures w14:val="none"/>
    </w:rPr>
  </w:style>
  <w:style w:type="paragraph" w:styleId="Heading9">
    <w:name w:val="heading 9"/>
    <w:basedOn w:val="Normal"/>
    <w:next w:val="Normal"/>
    <w:link w:val="Heading9Char"/>
    <w:unhideWhenUsed/>
    <w:qFormat/>
    <w:rsid w:val="00C04747"/>
    <w:pPr>
      <w:keepNext/>
      <w:keepLines/>
      <w:numPr>
        <w:ilvl w:val="8"/>
        <w:numId w:val="7"/>
      </w:numPr>
      <w:spacing w:before="200" w:after="0" w:line="240" w:lineRule="auto"/>
      <w:outlineLvl w:val="8"/>
    </w:pPr>
    <w:rPr>
      <w:rFonts w:asciiTheme="majorHAnsi" w:eastAsiaTheme="majorEastAsia" w:hAnsiTheme="majorHAnsi" w:cstheme="majorBidi"/>
      <w:bCs/>
      <w:i/>
      <w:iCs/>
      <w:color w:val="404040" w:themeColor="text1" w:themeTint="BF"/>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60A"/>
  </w:style>
  <w:style w:type="paragraph" w:styleId="Footer">
    <w:name w:val="footer"/>
    <w:basedOn w:val="Normal"/>
    <w:link w:val="FooterChar"/>
    <w:uiPriority w:val="99"/>
    <w:unhideWhenUsed/>
    <w:rsid w:val="00D83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60A"/>
  </w:style>
  <w:style w:type="table" w:styleId="TableGrid">
    <w:name w:val="Table Grid"/>
    <w:aliases w:val="Header Table Grid"/>
    <w:basedOn w:val="TableNormal"/>
    <w:uiPriority w:val="59"/>
    <w:rsid w:val="00141FF9"/>
    <w:pPr>
      <w:spacing w:after="0" w:line="240" w:lineRule="auto"/>
    </w:pPr>
    <w:rPr>
      <w:rFonts w:ascii="Arial" w:eastAsia="HGSMinchoE" w:hAnsi="Arial" w:cs="Times New Roman"/>
      <w:kern w:val="0"/>
      <w:sz w:val="24"/>
      <w:szCs w:val="24"/>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6353"/>
    <w:rPr>
      <w:color w:val="0000FF"/>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qFormat/>
    <w:rsid w:val="00605B5A"/>
    <w:pPr>
      <w:ind w:left="720"/>
      <w:contextualSpacing/>
    </w:pPr>
  </w:style>
  <w:style w:type="character" w:styleId="UnresolvedMention">
    <w:name w:val="Unresolved Mention"/>
    <w:basedOn w:val="DefaultParagraphFont"/>
    <w:uiPriority w:val="99"/>
    <w:semiHidden/>
    <w:unhideWhenUsed/>
    <w:rsid w:val="00F50003"/>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E91BB8"/>
  </w:style>
  <w:style w:type="character" w:customStyle="1" w:styleId="Heading1Char">
    <w:name w:val="Heading 1 Char"/>
    <w:aliases w:val="Heading 1 Heading1a Char,h1 Char,numbered indent 1 Char,ni1 Char,Part Char,Class Heading Char,Para indent 0 Char,Section Heading Char,Numbered - 1 Char,Paragraph No Char,H1 Char,Heading 1(Report Only) Char,A MAJOR/BOLD Char"/>
    <w:basedOn w:val="DefaultParagraphFont"/>
    <w:link w:val="Heading1"/>
    <w:rsid w:val="00C04747"/>
    <w:rPr>
      <w:rFonts w:ascii="Arial" w:eastAsia="Times New Roman" w:hAnsi="Arial" w:cs="Arial"/>
      <w:b/>
      <w:bCs/>
      <w:color w:val="0072C6"/>
      <w:kern w:val="32"/>
      <w:sz w:val="32"/>
      <w:szCs w:val="32"/>
      <w14:ligatures w14:val="none"/>
    </w:rPr>
  </w:style>
  <w:style w:type="character" w:customStyle="1" w:styleId="Heading2Char">
    <w:name w:val="Heading 2 Char"/>
    <w:basedOn w:val="DefaultParagraphFont"/>
    <w:link w:val="Heading2"/>
    <w:rsid w:val="00C04747"/>
    <w:rPr>
      <w:rFonts w:ascii="Arial" w:eastAsia="MS Mincho" w:hAnsi="Arial" w:cs="Times New Roman"/>
      <w:b/>
      <w:bCs/>
      <w:iCs/>
      <w:color w:val="A00054"/>
      <w:kern w:val="0"/>
      <w:sz w:val="28"/>
      <w:szCs w:val="28"/>
      <w14:ligatures w14:val="none"/>
    </w:rPr>
  </w:style>
  <w:style w:type="character" w:customStyle="1" w:styleId="Heading3Char">
    <w:name w:val="Heading 3 Char"/>
    <w:basedOn w:val="DefaultParagraphFont"/>
    <w:link w:val="Heading3"/>
    <w:rsid w:val="00C04747"/>
    <w:rPr>
      <w:rFonts w:ascii="Arial" w:eastAsia="Times New Roman" w:hAnsi="Arial" w:cs="Times New Roman"/>
      <w:b/>
      <w:bCs/>
      <w:kern w:val="0"/>
      <w:sz w:val="24"/>
      <w:szCs w:val="26"/>
      <w14:ligatures w14:val="none"/>
    </w:rPr>
  </w:style>
  <w:style w:type="character" w:customStyle="1" w:styleId="Heading4Char">
    <w:name w:val="Heading 4 Char"/>
    <w:aliases w:val="Topic Char,Para indent 3 Char,H4 Char,Sub-Minor Char"/>
    <w:basedOn w:val="DefaultParagraphFont"/>
    <w:link w:val="Heading4"/>
    <w:rsid w:val="00C04747"/>
    <w:rPr>
      <w:rFonts w:asciiTheme="majorHAnsi" w:eastAsiaTheme="majorEastAsia" w:hAnsiTheme="majorHAnsi" w:cstheme="majorBidi"/>
      <w:b/>
      <w:i/>
      <w:iCs/>
      <w:color w:val="4472C4" w:themeColor="accent1"/>
      <w:kern w:val="0"/>
      <w:sz w:val="24"/>
      <w:szCs w:val="26"/>
      <w14:ligatures w14:val="none"/>
    </w:rPr>
  </w:style>
  <w:style w:type="character" w:customStyle="1" w:styleId="Heading5Char">
    <w:name w:val="Heading 5 Char"/>
    <w:aliases w:val="Section Char,Block Label Char,quote Char,Bullet1 Char,Bullet2 Char,Level 3 - i Char,T: Char,PA Pico Section Char"/>
    <w:basedOn w:val="DefaultParagraphFont"/>
    <w:link w:val="Heading5"/>
    <w:rsid w:val="00C04747"/>
    <w:rPr>
      <w:rFonts w:asciiTheme="majorHAnsi" w:eastAsiaTheme="majorEastAsia" w:hAnsiTheme="majorHAnsi" w:cstheme="majorBidi"/>
      <w:bCs/>
      <w:color w:val="1F3763" w:themeColor="accent1" w:themeShade="7F"/>
      <w:kern w:val="0"/>
      <w:sz w:val="24"/>
      <w:szCs w:val="26"/>
      <w14:ligatures w14:val="none"/>
    </w:rPr>
  </w:style>
  <w:style w:type="character" w:customStyle="1" w:styleId="Heading6Char">
    <w:name w:val="Heading 6 Char"/>
    <w:aliases w:val="Sub Label Char,bullet2 Char,Legal Level 1. Char,Level 5.1 Char,Bp Char,PA Appendix Char"/>
    <w:basedOn w:val="DefaultParagraphFont"/>
    <w:link w:val="Heading6"/>
    <w:rsid w:val="00C04747"/>
    <w:rPr>
      <w:rFonts w:asciiTheme="majorHAnsi" w:eastAsiaTheme="majorEastAsia" w:hAnsiTheme="majorHAnsi" w:cstheme="majorBidi"/>
      <w:bCs/>
      <w:i/>
      <w:iCs/>
      <w:color w:val="1F3763" w:themeColor="accent1" w:themeShade="7F"/>
      <w:kern w:val="0"/>
      <w:sz w:val="24"/>
      <w:szCs w:val="26"/>
      <w14:ligatures w14:val="none"/>
    </w:rPr>
  </w:style>
  <w:style w:type="character" w:customStyle="1" w:styleId="Heading7Char">
    <w:name w:val="Heading 7 Char"/>
    <w:aliases w:val="Legal Level 1.1. Char,PA Appendix Major Char"/>
    <w:basedOn w:val="DefaultParagraphFont"/>
    <w:link w:val="Heading7"/>
    <w:rsid w:val="00C04747"/>
    <w:rPr>
      <w:rFonts w:asciiTheme="majorHAnsi" w:eastAsiaTheme="majorEastAsia" w:hAnsiTheme="majorHAnsi" w:cstheme="majorBidi"/>
      <w:bCs/>
      <w:i/>
      <w:iCs/>
      <w:color w:val="404040" w:themeColor="text1" w:themeTint="BF"/>
      <w:kern w:val="0"/>
      <w:sz w:val="24"/>
      <w:szCs w:val="26"/>
      <w14:ligatures w14:val="none"/>
    </w:rPr>
  </w:style>
  <w:style w:type="character" w:customStyle="1" w:styleId="Heading8Char">
    <w:name w:val="Heading 8 Char"/>
    <w:aliases w:val="Legal Level 1.1.1. Char,PA Appendix Minor Char"/>
    <w:basedOn w:val="DefaultParagraphFont"/>
    <w:link w:val="Heading8"/>
    <w:rsid w:val="00C04747"/>
    <w:rPr>
      <w:rFonts w:asciiTheme="majorHAnsi" w:eastAsiaTheme="majorEastAsia" w:hAnsiTheme="majorHAnsi" w:cstheme="majorBidi"/>
      <w:bCs/>
      <w:color w:val="404040" w:themeColor="text1" w:themeTint="BF"/>
      <w:kern w:val="0"/>
      <w:sz w:val="20"/>
      <w:szCs w:val="20"/>
      <w14:ligatures w14:val="none"/>
    </w:rPr>
  </w:style>
  <w:style w:type="character" w:customStyle="1" w:styleId="Heading9Char">
    <w:name w:val="Heading 9 Char"/>
    <w:basedOn w:val="DefaultParagraphFont"/>
    <w:link w:val="Heading9"/>
    <w:rsid w:val="00C04747"/>
    <w:rPr>
      <w:rFonts w:asciiTheme="majorHAnsi" w:eastAsiaTheme="majorEastAsia" w:hAnsiTheme="majorHAnsi" w:cstheme="majorBidi"/>
      <w:bCs/>
      <w:i/>
      <w:iCs/>
      <w:color w:val="404040" w:themeColor="text1" w:themeTint="BF"/>
      <w:kern w:val="0"/>
      <w:sz w:val="20"/>
      <w:szCs w:val="20"/>
      <w14:ligatures w14:val="none"/>
    </w:rPr>
  </w:style>
  <w:style w:type="paragraph" w:customStyle="1" w:styleId="Standard">
    <w:name w:val="Standard"/>
    <w:rsid w:val="004361B7"/>
    <w:pPr>
      <w:suppressAutoHyphens/>
      <w:autoSpaceDN w:val="0"/>
      <w:spacing w:after="200" w:line="276" w:lineRule="auto"/>
      <w:textAlignment w:val="baseline"/>
    </w:pPr>
    <w:rPr>
      <w:rFonts w:ascii="Calibri" w:eastAsia="Calibri" w:hAnsi="Calibri" w:cs="Calibri"/>
      <w:kern w:val="3"/>
      <w:lang w:eastAsia="en-GB"/>
      <w14:ligatures w14:val="none"/>
    </w:rPr>
  </w:style>
  <w:style w:type="numbering" w:customStyle="1" w:styleId="WWNum5">
    <w:name w:val="WWNum5"/>
    <w:basedOn w:val="NoList"/>
    <w:rsid w:val="00B6677A"/>
    <w:pPr>
      <w:numPr>
        <w:numId w:val="11"/>
      </w:numPr>
    </w:pPr>
  </w:style>
  <w:style w:type="paragraph" w:styleId="FootnoteText">
    <w:name w:val="footnote text"/>
    <w:basedOn w:val="Normal"/>
    <w:link w:val="FootnoteTextChar"/>
    <w:uiPriority w:val="99"/>
    <w:semiHidden/>
    <w:unhideWhenUsed/>
    <w:rsid w:val="002339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902"/>
    <w:rPr>
      <w:sz w:val="20"/>
      <w:szCs w:val="20"/>
    </w:rPr>
  </w:style>
  <w:style w:type="character" w:styleId="FootnoteReference">
    <w:name w:val="footnote reference"/>
    <w:basedOn w:val="DefaultParagraphFont"/>
    <w:uiPriority w:val="99"/>
    <w:semiHidden/>
    <w:unhideWhenUsed/>
    <w:rsid w:val="002339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845970">
      <w:bodyDiv w:val="1"/>
      <w:marLeft w:val="0"/>
      <w:marRight w:val="0"/>
      <w:marTop w:val="0"/>
      <w:marBottom w:val="0"/>
      <w:divBdr>
        <w:top w:val="none" w:sz="0" w:space="0" w:color="auto"/>
        <w:left w:val="none" w:sz="0" w:space="0" w:color="auto"/>
        <w:bottom w:val="none" w:sz="0" w:space="0" w:color="auto"/>
        <w:right w:val="none" w:sz="0" w:space="0" w:color="auto"/>
      </w:divBdr>
    </w:div>
    <w:div w:id="1275088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mens-health-strategy-for-englan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og.org.uk/media/h3smwohw/better-for-women-full-report.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hyperlink" Target="https://www.gov.uk/government/publications/womens-health-hubs-information-and-guidance/womens-health-hubs-core-specifi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womens-health-hubs-information-and-guidance/womens-health-hubs-core-specifi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641D63C1FA44449D2AF37955FC8509" ma:contentTypeVersion="201" ma:contentTypeDescription="Create a new document." ma:contentTypeScope="" ma:versionID="076cdfaa5f1bc95e2e4268667761205e">
  <xsd:schema xmlns:xsd="http://www.w3.org/2001/XMLSchema" xmlns:xs="http://www.w3.org/2001/XMLSchema" xmlns:p="http://schemas.microsoft.com/office/2006/metadata/properties" xmlns:ns2="125c0ec5-b946-4a68-849f-95ef2c375557" xmlns:ns3="620e20a1-df02-4e0a-b04f-3cb1ab8f6f12" targetNamespace="http://schemas.microsoft.com/office/2006/metadata/properties" ma:root="true" ma:fieldsID="87d76d2a97aab0b71cb7eaaffd6d0131" ns2:_="" ns3:_="">
    <xsd:import namespace="125c0ec5-b946-4a68-849f-95ef2c375557"/>
    <xsd:import namespace="620e20a1-df02-4e0a-b04f-3cb1ab8f6f1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c0ec5-b946-4a68-849f-95ef2c3755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37547db-9da2-4912-9ea5-f4161478eee4}" ma:internalName="TaxCatchAll" ma:showField="CatchAllData" ma:web="125c0ec5-b946-4a68-849f-95ef2c375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0e20a1-df02-4e0a-b04f-3cb1ab8f6f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5afa5e8-e774-4a76-8d4b-df77f13846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20e20a1-df02-4e0a-b04f-3cb1ab8f6f12">
      <Terms xmlns="http://schemas.microsoft.com/office/infopath/2007/PartnerControls"/>
    </lcf76f155ced4ddcb4097134ff3c332f>
    <TaxCatchAll xmlns="125c0ec5-b946-4a68-849f-95ef2c375557" xsi:nil="true"/>
    <_dlc_DocId xmlns="125c0ec5-b946-4a68-849f-95ef2c375557">2Y4MS3S4F6CT-1127749235-76659</_dlc_DocId>
    <_dlc_DocIdUrl xmlns="125c0ec5-b946-4a68-849f-95ef2c375557">
      <Url>https://communityfutures386.sharepoint.com/sites/Business/_layouts/15/DocIdRedir.aspx?ID=2Y4MS3S4F6CT-1127749235-76659</Url>
      <Description>2Y4MS3S4F6CT-1127749235-76659</Description>
    </_dlc_DocIdUrl>
  </documentManagement>
</p:properties>
</file>

<file path=customXml/itemProps1.xml><?xml version="1.0" encoding="utf-8"?>
<ds:datastoreItem xmlns:ds="http://schemas.openxmlformats.org/officeDocument/2006/customXml" ds:itemID="{0951D4AF-70BB-4297-8496-F111B396BA78}">
  <ds:schemaRefs>
    <ds:schemaRef ds:uri="http://schemas.openxmlformats.org/officeDocument/2006/bibliography"/>
  </ds:schemaRefs>
</ds:datastoreItem>
</file>

<file path=customXml/itemProps2.xml><?xml version="1.0" encoding="utf-8"?>
<ds:datastoreItem xmlns:ds="http://schemas.openxmlformats.org/officeDocument/2006/customXml" ds:itemID="{A865F042-14D7-4D6F-AFC9-7C4C69C3079B}"/>
</file>

<file path=customXml/itemProps3.xml><?xml version="1.0" encoding="utf-8"?>
<ds:datastoreItem xmlns:ds="http://schemas.openxmlformats.org/officeDocument/2006/customXml" ds:itemID="{7998EC8F-A945-442C-AB7C-8D6E4FC16DA3}"/>
</file>

<file path=customXml/itemProps4.xml><?xml version="1.0" encoding="utf-8"?>
<ds:datastoreItem xmlns:ds="http://schemas.openxmlformats.org/officeDocument/2006/customXml" ds:itemID="{A6995278-32CA-4AFC-A355-AB05CDDB1DCC}"/>
</file>

<file path=customXml/itemProps5.xml><?xml version="1.0" encoding="utf-8"?>
<ds:datastoreItem xmlns:ds="http://schemas.openxmlformats.org/officeDocument/2006/customXml" ds:itemID="{74B207C1-C776-40E6-B436-F7D16DB9B18D}"/>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BIBBY, Sarah (NHS LANCASHIRE AND SOUTH CUMBRIA ICB - 00R)</dc:creator>
  <cp:keywords/>
  <dc:description/>
  <cp:lastModifiedBy>Joe Hannett</cp:lastModifiedBy>
  <cp:revision>1</cp:revision>
  <dcterms:created xsi:type="dcterms:W3CDTF">2024-06-04T12:47:00Z</dcterms:created>
  <dcterms:modified xsi:type="dcterms:W3CDTF">2024-06-04T12:47:00Z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0x01010004641D63C1FA44449D2AF37955FC8509</vt:lpwstr>
  </property>
  <property fmtid="{D5CDD505-2E9C-101B-9397-08002B2CF9AE}" pid="3" name="_dlc_DocIdItemGuid">
    <vt:lpwstr>31a08fd8-8f59-4229-a5f4-7ab1b606ca87</vt:lpwstr>
  </property>
</Properties>
</file>