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465" w:lineRule="auto" w:before="64"/>
        <w:ind w:left="3043" w:right="1799" w:hanging="1510"/>
      </w:pPr>
      <w:bookmarkStart w:name="Terms of Reference for L&amp;SC Provider Col" w:id="1"/>
      <w:bookmarkEnd w:id="1"/>
      <w:r>
        <w:rPr>
          <w:b w:val="0"/>
        </w:rPr>
      </w:r>
      <w:r>
        <w:rPr/>
        <w:t>Terms of Reference for L&amp;SC Provider Collaboration Board</w:t>
      </w:r>
      <w:bookmarkStart w:name="February 2023 - DRAFT v003-1" w:id="2"/>
      <w:bookmarkEnd w:id="2"/>
      <w:r>
        <w:rPr/>
      </w:r>
      <w:r>
        <w:rPr/>
        <w:t> February 2023 - DRAFT v003-1</w:t>
      </w:r>
    </w:p>
    <w:tbl>
      <w:tblPr>
        <w:tblW w:w="0" w:type="auto"/>
        <w:jc w:val="left"/>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993"/>
        <w:gridCol w:w="2834"/>
        <w:gridCol w:w="3544"/>
      </w:tblGrid>
      <w:tr>
        <w:trPr>
          <w:trHeight w:val="417" w:hRule="atLeast"/>
        </w:trPr>
        <w:tc>
          <w:tcPr>
            <w:tcW w:w="2807" w:type="dxa"/>
            <w:gridSpan w:val="2"/>
          </w:tcPr>
          <w:p>
            <w:pPr>
              <w:pStyle w:val="TableParagraph"/>
              <w:spacing w:before="79"/>
              <w:rPr>
                <w:sz w:val="22"/>
              </w:rPr>
            </w:pPr>
            <w:r>
              <w:rPr>
                <w:sz w:val="22"/>
              </w:rPr>
              <w:t>Title</w:t>
            </w:r>
          </w:p>
        </w:tc>
        <w:tc>
          <w:tcPr>
            <w:tcW w:w="6378" w:type="dxa"/>
            <w:gridSpan w:val="2"/>
          </w:tcPr>
          <w:p>
            <w:pPr>
              <w:pStyle w:val="TableParagraph"/>
              <w:spacing w:before="79"/>
              <w:ind w:left="79"/>
              <w:rPr>
                <w:sz w:val="22"/>
              </w:rPr>
            </w:pPr>
            <w:r>
              <w:rPr>
                <w:sz w:val="22"/>
              </w:rPr>
              <w:t>Terms of Reference for L&amp;SC Provider Collaboration Board</w:t>
            </w:r>
          </w:p>
        </w:tc>
      </w:tr>
      <w:tr>
        <w:trPr>
          <w:trHeight w:val="978" w:hRule="atLeast"/>
        </w:trPr>
        <w:tc>
          <w:tcPr>
            <w:tcW w:w="2807" w:type="dxa"/>
            <w:gridSpan w:val="2"/>
          </w:tcPr>
          <w:p>
            <w:pPr>
              <w:pStyle w:val="TableParagraph"/>
              <w:spacing w:before="79"/>
              <w:rPr>
                <w:sz w:val="22"/>
              </w:rPr>
            </w:pPr>
            <w:r>
              <w:rPr>
                <w:sz w:val="22"/>
              </w:rPr>
              <w:t>Author(s)</w:t>
            </w:r>
          </w:p>
        </w:tc>
        <w:tc>
          <w:tcPr>
            <w:tcW w:w="6378" w:type="dxa"/>
            <w:gridSpan w:val="2"/>
          </w:tcPr>
          <w:p>
            <w:pPr>
              <w:pStyle w:val="TableParagraph"/>
              <w:ind w:left="0"/>
              <w:rPr>
                <w:rFonts w:ascii="Times New Roman"/>
                <w:sz w:val="22"/>
              </w:rPr>
            </w:pPr>
          </w:p>
        </w:tc>
      </w:tr>
      <w:tr>
        <w:trPr>
          <w:trHeight w:val="450" w:hRule="atLeast"/>
        </w:trPr>
        <w:tc>
          <w:tcPr>
            <w:tcW w:w="2807" w:type="dxa"/>
            <w:gridSpan w:val="2"/>
          </w:tcPr>
          <w:p>
            <w:pPr>
              <w:pStyle w:val="TableParagraph"/>
              <w:spacing w:before="76"/>
              <w:rPr>
                <w:sz w:val="22"/>
              </w:rPr>
            </w:pPr>
            <w:r>
              <w:rPr>
                <w:sz w:val="22"/>
              </w:rPr>
              <w:t>Version</w:t>
            </w:r>
          </w:p>
        </w:tc>
        <w:tc>
          <w:tcPr>
            <w:tcW w:w="6378" w:type="dxa"/>
            <w:gridSpan w:val="2"/>
          </w:tcPr>
          <w:p>
            <w:pPr>
              <w:pStyle w:val="TableParagraph"/>
              <w:spacing w:before="76"/>
              <w:ind w:left="79"/>
              <w:rPr>
                <w:sz w:val="22"/>
              </w:rPr>
            </w:pPr>
            <w:r>
              <w:rPr>
                <w:sz w:val="22"/>
              </w:rPr>
              <w:t>Draft v003-1</w:t>
            </w:r>
          </w:p>
        </w:tc>
      </w:tr>
      <w:tr>
        <w:trPr>
          <w:trHeight w:val="515" w:hRule="atLeast"/>
        </w:trPr>
        <w:tc>
          <w:tcPr>
            <w:tcW w:w="2807" w:type="dxa"/>
            <w:gridSpan w:val="2"/>
          </w:tcPr>
          <w:p>
            <w:pPr>
              <w:pStyle w:val="TableParagraph"/>
              <w:spacing w:before="79"/>
              <w:rPr>
                <w:sz w:val="22"/>
              </w:rPr>
            </w:pPr>
            <w:r>
              <w:rPr>
                <w:sz w:val="22"/>
              </w:rPr>
              <w:t>Target Audience</w:t>
            </w:r>
          </w:p>
        </w:tc>
        <w:tc>
          <w:tcPr>
            <w:tcW w:w="6378" w:type="dxa"/>
            <w:gridSpan w:val="2"/>
          </w:tcPr>
          <w:p>
            <w:pPr>
              <w:pStyle w:val="TableParagraph"/>
              <w:spacing w:before="79"/>
              <w:ind w:left="79"/>
              <w:rPr>
                <w:sz w:val="22"/>
              </w:rPr>
            </w:pPr>
            <w:r>
              <w:rPr>
                <w:sz w:val="22"/>
              </w:rPr>
              <w:t>Lancashire and South Cumbria NHS Trust Providers</w:t>
            </w:r>
          </w:p>
        </w:tc>
      </w:tr>
      <w:tr>
        <w:trPr>
          <w:trHeight w:val="450" w:hRule="atLeast"/>
        </w:trPr>
        <w:tc>
          <w:tcPr>
            <w:tcW w:w="2807" w:type="dxa"/>
            <w:gridSpan w:val="2"/>
          </w:tcPr>
          <w:p>
            <w:pPr>
              <w:pStyle w:val="TableParagraph"/>
              <w:spacing w:before="76"/>
              <w:rPr>
                <w:sz w:val="22"/>
              </w:rPr>
            </w:pPr>
            <w:r>
              <w:rPr>
                <w:sz w:val="22"/>
              </w:rPr>
              <w:t>Created - date</w:t>
            </w:r>
          </w:p>
        </w:tc>
        <w:tc>
          <w:tcPr>
            <w:tcW w:w="6378" w:type="dxa"/>
            <w:gridSpan w:val="2"/>
          </w:tcPr>
          <w:p>
            <w:pPr>
              <w:pStyle w:val="TableParagraph"/>
              <w:ind w:left="0"/>
              <w:rPr>
                <w:rFonts w:ascii="Times New Roman"/>
                <w:sz w:val="22"/>
              </w:rPr>
            </w:pPr>
          </w:p>
        </w:tc>
      </w:tr>
      <w:tr>
        <w:trPr>
          <w:trHeight w:val="453" w:hRule="atLeast"/>
        </w:trPr>
        <w:tc>
          <w:tcPr>
            <w:tcW w:w="2807" w:type="dxa"/>
            <w:gridSpan w:val="2"/>
          </w:tcPr>
          <w:p>
            <w:pPr>
              <w:pStyle w:val="TableParagraph"/>
              <w:spacing w:before="79"/>
              <w:rPr>
                <w:sz w:val="22"/>
              </w:rPr>
            </w:pPr>
            <w:r>
              <w:rPr>
                <w:sz w:val="22"/>
              </w:rPr>
              <w:t>Date of Issue</w:t>
            </w:r>
          </w:p>
        </w:tc>
        <w:tc>
          <w:tcPr>
            <w:tcW w:w="6378" w:type="dxa"/>
            <w:gridSpan w:val="2"/>
          </w:tcPr>
          <w:p>
            <w:pPr>
              <w:pStyle w:val="TableParagraph"/>
              <w:ind w:left="0"/>
              <w:rPr>
                <w:rFonts w:ascii="Times New Roman"/>
                <w:sz w:val="22"/>
              </w:rPr>
            </w:pPr>
          </w:p>
        </w:tc>
      </w:tr>
      <w:tr>
        <w:trPr>
          <w:trHeight w:val="450" w:hRule="atLeast"/>
        </w:trPr>
        <w:tc>
          <w:tcPr>
            <w:tcW w:w="2807" w:type="dxa"/>
            <w:gridSpan w:val="2"/>
          </w:tcPr>
          <w:p>
            <w:pPr>
              <w:pStyle w:val="TableParagraph"/>
              <w:spacing w:before="76"/>
              <w:rPr>
                <w:sz w:val="22"/>
              </w:rPr>
            </w:pPr>
            <w:r>
              <w:rPr>
                <w:sz w:val="22"/>
              </w:rPr>
              <w:t>Document Status</w:t>
            </w:r>
          </w:p>
        </w:tc>
        <w:tc>
          <w:tcPr>
            <w:tcW w:w="6378" w:type="dxa"/>
            <w:gridSpan w:val="2"/>
          </w:tcPr>
          <w:p>
            <w:pPr>
              <w:pStyle w:val="TableParagraph"/>
              <w:spacing w:before="76"/>
              <w:ind w:left="79"/>
              <w:rPr>
                <w:sz w:val="22"/>
              </w:rPr>
            </w:pPr>
            <w:r>
              <w:rPr>
                <w:sz w:val="22"/>
              </w:rPr>
              <w:t>Draft</w:t>
            </w:r>
          </w:p>
        </w:tc>
      </w:tr>
      <w:tr>
        <w:trPr>
          <w:trHeight w:val="671" w:hRule="atLeast"/>
        </w:trPr>
        <w:tc>
          <w:tcPr>
            <w:tcW w:w="2807" w:type="dxa"/>
            <w:gridSpan w:val="2"/>
          </w:tcPr>
          <w:p>
            <w:pPr>
              <w:pStyle w:val="TableParagraph"/>
              <w:spacing w:before="79"/>
              <w:rPr>
                <w:sz w:val="22"/>
              </w:rPr>
            </w:pPr>
            <w:r>
              <w:rPr>
                <w:sz w:val="22"/>
              </w:rPr>
              <w:t>Description</w:t>
            </w:r>
          </w:p>
        </w:tc>
        <w:tc>
          <w:tcPr>
            <w:tcW w:w="6378" w:type="dxa"/>
            <w:gridSpan w:val="2"/>
          </w:tcPr>
          <w:p>
            <w:pPr>
              <w:pStyle w:val="TableParagraph"/>
              <w:spacing w:before="79"/>
              <w:ind w:left="79" w:right="912"/>
              <w:rPr>
                <w:sz w:val="22"/>
              </w:rPr>
            </w:pPr>
            <w:r>
              <w:rPr>
                <w:sz w:val="22"/>
              </w:rPr>
              <w:t>Updated Terms of Reference for Lancashire and South Cumbria Provider Collaboration Board</w:t>
            </w:r>
          </w:p>
        </w:tc>
      </w:tr>
      <w:tr>
        <w:trPr>
          <w:trHeight w:val="650" w:hRule="atLeast"/>
        </w:trPr>
        <w:tc>
          <w:tcPr>
            <w:tcW w:w="2807" w:type="dxa"/>
            <w:gridSpan w:val="2"/>
          </w:tcPr>
          <w:p>
            <w:pPr>
              <w:pStyle w:val="TableParagraph"/>
              <w:spacing w:before="76"/>
              <w:rPr>
                <w:sz w:val="22"/>
              </w:rPr>
            </w:pPr>
            <w:r>
              <w:rPr>
                <w:sz w:val="22"/>
              </w:rPr>
              <w:t>File name and path</w:t>
            </w:r>
          </w:p>
        </w:tc>
        <w:tc>
          <w:tcPr>
            <w:tcW w:w="6378" w:type="dxa"/>
            <w:gridSpan w:val="2"/>
          </w:tcPr>
          <w:p>
            <w:pPr>
              <w:pStyle w:val="TableParagraph"/>
              <w:ind w:left="0"/>
              <w:rPr>
                <w:rFonts w:ascii="Times New Roman"/>
                <w:sz w:val="22"/>
              </w:rPr>
            </w:pPr>
          </w:p>
        </w:tc>
      </w:tr>
      <w:tr>
        <w:trPr>
          <w:trHeight w:val="453" w:hRule="atLeast"/>
        </w:trPr>
        <w:tc>
          <w:tcPr>
            <w:tcW w:w="9185" w:type="dxa"/>
            <w:gridSpan w:val="4"/>
          </w:tcPr>
          <w:p>
            <w:pPr>
              <w:pStyle w:val="TableParagraph"/>
              <w:spacing w:before="79"/>
              <w:rPr>
                <w:sz w:val="22"/>
              </w:rPr>
            </w:pPr>
            <w:r>
              <w:rPr>
                <w:sz w:val="22"/>
              </w:rPr>
              <w:t>Document History:</w:t>
            </w:r>
          </w:p>
        </w:tc>
      </w:tr>
      <w:tr>
        <w:trPr>
          <w:trHeight w:val="450" w:hRule="atLeast"/>
        </w:trPr>
        <w:tc>
          <w:tcPr>
            <w:tcW w:w="1814" w:type="dxa"/>
          </w:tcPr>
          <w:p>
            <w:pPr>
              <w:pStyle w:val="TableParagraph"/>
              <w:spacing w:before="76"/>
              <w:rPr>
                <w:sz w:val="22"/>
              </w:rPr>
            </w:pPr>
            <w:r>
              <w:rPr>
                <w:sz w:val="22"/>
              </w:rPr>
              <w:t>Date</w:t>
            </w:r>
          </w:p>
        </w:tc>
        <w:tc>
          <w:tcPr>
            <w:tcW w:w="993" w:type="dxa"/>
          </w:tcPr>
          <w:p>
            <w:pPr>
              <w:pStyle w:val="TableParagraph"/>
              <w:spacing w:before="76"/>
              <w:ind w:left="81"/>
              <w:rPr>
                <w:sz w:val="22"/>
              </w:rPr>
            </w:pPr>
            <w:r>
              <w:rPr>
                <w:sz w:val="22"/>
              </w:rPr>
              <w:t>Version</w:t>
            </w:r>
          </w:p>
        </w:tc>
        <w:tc>
          <w:tcPr>
            <w:tcW w:w="2834" w:type="dxa"/>
          </w:tcPr>
          <w:p>
            <w:pPr>
              <w:pStyle w:val="TableParagraph"/>
              <w:spacing w:before="76"/>
              <w:ind w:left="79"/>
              <w:rPr>
                <w:sz w:val="22"/>
              </w:rPr>
            </w:pPr>
            <w:r>
              <w:rPr>
                <w:sz w:val="22"/>
              </w:rPr>
              <w:t>Author</w:t>
            </w:r>
          </w:p>
        </w:tc>
        <w:tc>
          <w:tcPr>
            <w:tcW w:w="3544" w:type="dxa"/>
          </w:tcPr>
          <w:p>
            <w:pPr>
              <w:pStyle w:val="TableParagraph"/>
              <w:spacing w:before="76"/>
              <w:ind w:left="80"/>
              <w:rPr>
                <w:sz w:val="22"/>
              </w:rPr>
            </w:pPr>
            <w:r>
              <w:rPr>
                <w:sz w:val="22"/>
              </w:rPr>
              <w:t>Notes</w:t>
            </w:r>
          </w:p>
        </w:tc>
      </w:tr>
      <w:tr>
        <w:trPr>
          <w:trHeight w:val="4451" w:hRule="atLeast"/>
        </w:trPr>
        <w:tc>
          <w:tcPr>
            <w:tcW w:w="1814" w:type="dxa"/>
          </w:tcPr>
          <w:p>
            <w:pPr>
              <w:pStyle w:val="TableParagraph"/>
              <w:spacing w:before="79"/>
              <w:rPr>
                <w:sz w:val="22"/>
              </w:rPr>
            </w:pPr>
            <w:r>
              <w:rPr>
                <w:sz w:val="22"/>
              </w:rPr>
              <w:t>20 Feb 2023</w:t>
            </w:r>
          </w:p>
        </w:tc>
        <w:tc>
          <w:tcPr>
            <w:tcW w:w="993" w:type="dxa"/>
          </w:tcPr>
          <w:p>
            <w:pPr>
              <w:pStyle w:val="TableParagraph"/>
              <w:spacing w:before="79"/>
              <w:ind w:left="81"/>
              <w:rPr>
                <w:sz w:val="22"/>
              </w:rPr>
            </w:pPr>
            <w:r>
              <w:rPr>
                <w:sz w:val="22"/>
              </w:rPr>
              <w:t>003-1</w:t>
            </w:r>
          </w:p>
        </w:tc>
        <w:tc>
          <w:tcPr>
            <w:tcW w:w="2834" w:type="dxa"/>
          </w:tcPr>
          <w:p>
            <w:pPr>
              <w:pStyle w:val="TableParagraph"/>
              <w:spacing w:before="79"/>
              <w:ind w:left="79" w:right="144"/>
              <w:rPr>
                <w:sz w:val="22"/>
              </w:rPr>
            </w:pPr>
            <w:r>
              <w:rPr>
                <w:sz w:val="22"/>
              </w:rPr>
              <w:t>Angela Bosnjak-Szekeres, SRO for Governance &amp; Legal Services - Lancashire &amp; South Cumbria PCB</w:t>
            </w:r>
          </w:p>
          <w:p>
            <w:pPr>
              <w:pStyle w:val="TableParagraph"/>
              <w:ind w:left="80" w:right="96" w:hanging="1"/>
              <w:rPr>
                <w:sz w:val="22"/>
              </w:rPr>
            </w:pPr>
            <w:r>
              <w:rPr>
                <w:sz w:val="22"/>
              </w:rPr>
              <w:t>Christian Dingwall, Browne Jacobson</w:t>
            </w:r>
          </w:p>
        </w:tc>
        <w:tc>
          <w:tcPr>
            <w:tcW w:w="3544" w:type="dxa"/>
          </w:tcPr>
          <w:p>
            <w:pPr>
              <w:pStyle w:val="TableParagraph"/>
              <w:spacing w:line="278" w:lineRule="auto" w:before="79"/>
              <w:ind w:left="80" w:right="95"/>
              <w:rPr>
                <w:sz w:val="22"/>
              </w:rPr>
            </w:pPr>
            <w:r>
              <w:rPr>
                <w:sz w:val="22"/>
              </w:rPr>
              <w:t>Previous versions of the PCB ToR were:</w:t>
            </w:r>
          </w:p>
          <w:p>
            <w:pPr>
              <w:pStyle w:val="TableParagraph"/>
              <w:spacing w:line="278" w:lineRule="auto" w:before="193"/>
              <w:ind w:left="80" w:right="266"/>
              <w:rPr>
                <w:sz w:val="22"/>
              </w:rPr>
            </w:pPr>
            <w:r>
              <w:rPr>
                <w:sz w:val="22"/>
              </w:rPr>
              <w:t>Version 001 – original ToR approved July 2020 to constitute the PCB as a working group</w:t>
            </w:r>
          </w:p>
          <w:p>
            <w:pPr>
              <w:pStyle w:val="TableParagraph"/>
              <w:spacing w:line="278" w:lineRule="auto" w:before="192"/>
              <w:ind w:left="80" w:right="70"/>
              <w:rPr>
                <w:sz w:val="22"/>
              </w:rPr>
            </w:pPr>
            <w:r>
              <w:rPr>
                <w:sz w:val="22"/>
              </w:rPr>
              <w:t>Version 002 – updated ToR approved Nov 2022 to reconstitute the PCB as a joint committee</w:t>
            </w:r>
          </w:p>
          <w:p>
            <w:pPr>
              <w:pStyle w:val="TableParagraph"/>
              <w:spacing w:line="276" w:lineRule="auto" w:before="193"/>
              <w:ind w:left="80" w:right="131"/>
              <w:rPr>
                <w:sz w:val="22"/>
              </w:rPr>
            </w:pPr>
            <w:r>
              <w:rPr>
                <w:sz w:val="22"/>
              </w:rPr>
              <w:t>The purpose of this updating to version 003 is to confer delegated additional functions on the PCB for pathology services</w:t>
            </w:r>
          </w:p>
        </w:tc>
      </w:tr>
      <w:tr>
        <w:trPr>
          <w:trHeight w:val="412" w:hRule="atLeast"/>
        </w:trPr>
        <w:tc>
          <w:tcPr>
            <w:tcW w:w="1814" w:type="dxa"/>
          </w:tcPr>
          <w:p>
            <w:pPr>
              <w:pStyle w:val="TableParagraph"/>
              <w:ind w:left="0"/>
              <w:rPr>
                <w:rFonts w:ascii="Times New Roman"/>
                <w:sz w:val="22"/>
              </w:rPr>
            </w:pPr>
          </w:p>
        </w:tc>
        <w:tc>
          <w:tcPr>
            <w:tcW w:w="993" w:type="dxa"/>
          </w:tcPr>
          <w:p>
            <w:pPr>
              <w:pStyle w:val="TableParagraph"/>
              <w:ind w:left="0"/>
              <w:rPr>
                <w:rFonts w:ascii="Times New Roman"/>
                <w:sz w:val="22"/>
              </w:rPr>
            </w:pPr>
          </w:p>
        </w:tc>
        <w:tc>
          <w:tcPr>
            <w:tcW w:w="2834" w:type="dxa"/>
          </w:tcPr>
          <w:p>
            <w:pPr>
              <w:pStyle w:val="TableParagraph"/>
              <w:ind w:left="0"/>
              <w:rPr>
                <w:rFonts w:ascii="Times New Roman"/>
                <w:sz w:val="22"/>
              </w:rPr>
            </w:pPr>
          </w:p>
        </w:tc>
        <w:tc>
          <w:tcPr>
            <w:tcW w:w="3544" w:type="dxa"/>
          </w:tcPr>
          <w:p>
            <w:pPr>
              <w:pStyle w:val="TableParagraph"/>
              <w:ind w:left="0"/>
              <w:rPr>
                <w:rFonts w:ascii="Times New Roman"/>
                <w:sz w:val="22"/>
              </w:rPr>
            </w:pPr>
          </w:p>
        </w:tc>
      </w:tr>
      <w:tr>
        <w:trPr>
          <w:trHeight w:val="412" w:hRule="atLeast"/>
        </w:trPr>
        <w:tc>
          <w:tcPr>
            <w:tcW w:w="1814" w:type="dxa"/>
          </w:tcPr>
          <w:p>
            <w:pPr>
              <w:pStyle w:val="TableParagraph"/>
              <w:ind w:left="0"/>
              <w:rPr>
                <w:rFonts w:ascii="Times New Roman"/>
                <w:sz w:val="22"/>
              </w:rPr>
            </w:pPr>
          </w:p>
        </w:tc>
        <w:tc>
          <w:tcPr>
            <w:tcW w:w="993" w:type="dxa"/>
          </w:tcPr>
          <w:p>
            <w:pPr>
              <w:pStyle w:val="TableParagraph"/>
              <w:ind w:left="0"/>
              <w:rPr>
                <w:rFonts w:ascii="Times New Roman"/>
                <w:sz w:val="22"/>
              </w:rPr>
            </w:pPr>
          </w:p>
        </w:tc>
        <w:tc>
          <w:tcPr>
            <w:tcW w:w="2834" w:type="dxa"/>
          </w:tcPr>
          <w:p>
            <w:pPr>
              <w:pStyle w:val="TableParagraph"/>
              <w:ind w:left="0"/>
              <w:rPr>
                <w:rFonts w:ascii="Times New Roman"/>
                <w:sz w:val="22"/>
              </w:rPr>
            </w:pPr>
          </w:p>
        </w:tc>
        <w:tc>
          <w:tcPr>
            <w:tcW w:w="3544" w:type="dxa"/>
          </w:tcPr>
          <w:p>
            <w:pPr>
              <w:pStyle w:val="TableParagraph"/>
              <w:ind w:left="0"/>
              <w:rPr>
                <w:rFonts w:ascii="Times New Roman"/>
                <w:sz w:val="22"/>
              </w:rPr>
            </w:pPr>
          </w:p>
        </w:tc>
      </w:tr>
      <w:tr>
        <w:trPr>
          <w:trHeight w:val="414" w:hRule="atLeast"/>
        </w:trPr>
        <w:tc>
          <w:tcPr>
            <w:tcW w:w="1814" w:type="dxa"/>
          </w:tcPr>
          <w:p>
            <w:pPr>
              <w:pStyle w:val="TableParagraph"/>
              <w:ind w:left="0"/>
              <w:rPr>
                <w:rFonts w:ascii="Times New Roman"/>
                <w:sz w:val="22"/>
              </w:rPr>
            </w:pPr>
          </w:p>
        </w:tc>
        <w:tc>
          <w:tcPr>
            <w:tcW w:w="993" w:type="dxa"/>
          </w:tcPr>
          <w:p>
            <w:pPr>
              <w:pStyle w:val="TableParagraph"/>
              <w:ind w:left="0"/>
              <w:rPr>
                <w:rFonts w:ascii="Times New Roman"/>
                <w:sz w:val="22"/>
              </w:rPr>
            </w:pPr>
          </w:p>
        </w:tc>
        <w:tc>
          <w:tcPr>
            <w:tcW w:w="2834" w:type="dxa"/>
          </w:tcPr>
          <w:p>
            <w:pPr>
              <w:pStyle w:val="TableParagraph"/>
              <w:ind w:left="0"/>
              <w:rPr>
                <w:rFonts w:ascii="Times New Roman"/>
                <w:sz w:val="22"/>
              </w:rPr>
            </w:pPr>
          </w:p>
        </w:tc>
        <w:tc>
          <w:tcPr>
            <w:tcW w:w="3544" w:type="dxa"/>
          </w:tcPr>
          <w:p>
            <w:pPr>
              <w:pStyle w:val="TableParagraph"/>
              <w:ind w:left="0"/>
              <w:rPr>
                <w:rFonts w:ascii="Times New Roman"/>
                <w:sz w:val="22"/>
              </w:rPr>
            </w:pPr>
          </w:p>
        </w:tc>
      </w:tr>
      <w:tr>
        <w:trPr>
          <w:trHeight w:val="412" w:hRule="atLeast"/>
        </w:trPr>
        <w:tc>
          <w:tcPr>
            <w:tcW w:w="1814" w:type="dxa"/>
          </w:tcPr>
          <w:p>
            <w:pPr>
              <w:pStyle w:val="TableParagraph"/>
              <w:ind w:left="0"/>
              <w:rPr>
                <w:rFonts w:ascii="Times New Roman"/>
                <w:sz w:val="22"/>
              </w:rPr>
            </w:pPr>
          </w:p>
        </w:tc>
        <w:tc>
          <w:tcPr>
            <w:tcW w:w="993" w:type="dxa"/>
          </w:tcPr>
          <w:p>
            <w:pPr>
              <w:pStyle w:val="TableParagraph"/>
              <w:ind w:left="0"/>
              <w:rPr>
                <w:rFonts w:ascii="Times New Roman"/>
                <w:sz w:val="22"/>
              </w:rPr>
            </w:pPr>
          </w:p>
        </w:tc>
        <w:tc>
          <w:tcPr>
            <w:tcW w:w="2834" w:type="dxa"/>
          </w:tcPr>
          <w:p>
            <w:pPr>
              <w:pStyle w:val="TableParagraph"/>
              <w:ind w:left="0"/>
              <w:rPr>
                <w:rFonts w:ascii="Times New Roman"/>
                <w:sz w:val="22"/>
              </w:rPr>
            </w:pPr>
          </w:p>
        </w:tc>
        <w:tc>
          <w:tcPr>
            <w:tcW w:w="3544" w:type="dxa"/>
          </w:tcPr>
          <w:p>
            <w:pPr>
              <w:pStyle w:val="TableParagraph"/>
              <w:ind w:left="0"/>
              <w:rPr>
                <w:rFonts w:ascii="Times New Roman"/>
                <w:sz w:val="22"/>
              </w:rPr>
            </w:pPr>
          </w:p>
        </w:tc>
      </w:tr>
      <w:tr>
        <w:trPr>
          <w:trHeight w:val="455" w:hRule="atLeast"/>
        </w:trPr>
        <w:tc>
          <w:tcPr>
            <w:tcW w:w="2807" w:type="dxa"/>
            <w:gridSpan w:val="2"/>
          </w:tcPr>
          <w:p>
            <w:pPr>
              <w:pStyle w:val="TableParagraph"/>
              <w:spacing w:before="76"/>
              <w:rPr>
                <w:b/>
                <w:sz w:val="22"/>
              </w:rPr>
            </w:pPr>
            <w:r>
              <w:rPr>
                <w:b/>
                <w:sz w:val="22"/>
              </w:rPr>
              <w:t>Approval</w:t>
            </w:r>
          </w:p>
        </w:tc>
        <w:tc>
          <w:tcPr>
            <w:tcW w:w="6378" w:type="dxa"/>
            <w:gridSpan w:val="2"/>
          </w:tcPr>
          <w:p>
            <w:pPr>
              <w:pStyle w:val="TableParagraph"/>
              <w:ind w:left="0"/>
              <w:rPr>
                <w:rFonts w:ascii="Times New Roman"/>
                <w:sz w:val="22"/>
              </w:rPr>
            </w:pPr>
          </w:p>
        </w:tc>
      </w:tr>
    </w:tbl>
    <w:p>
      <w:pPr>
        <w:spacing w:after="0"/>
        <w:rPr>
          <w:rFonts w:ascii="Times New Roman"/>
          <w:sz w:val="22"/>
        </w:rPr>
        <w:sectPr>
          <w:footerReference w:type="default" r:id="rId5"/>
          <w:type w:val="continuous"/>
          <w:pgSz w:w="11910" w:h="16840"/>
          <w:pgMar w:footer="1002" w:top="1360" w:bottom="1200" w:left="1320" w:right="1040"/>
          <w:pgNumType w:start="1"/>
        </w:sectPr>
      </w:pPr>
    </w:p>
    <w:p>
      <w:pPr>
        <w:spacing w:before="64"/>
        <w:ind w:left="1499" w:right="1773" w:firstLine="0"/>
        <w:jc w:val="center"/>
        <w:rPr>
          <w:b/>
          <w:sz w:val="22"/>
        </w:rPr>
      </w:pPr>
      <w:r>
        <w:rPr>
          <w:b/>
          <w:sz w:val="22"/>
        </w:rPr>
        <w:t>Lancashire and South Cumbria</w:t>
      </w:r>
    </w:p>
    <w:p>
      <w:pPr>
        <w:pStyle w:val="BodyText"/>
        <w:spacing w:before="6"/>
        <w:rPr>
          <w:b/>
          <w:sz w:val="20"/>
        </w:rPr>
      </w:pPr>
    </w:p>
    <w:p>
      <w:pPr>
        <w:spacing w:before="0"/>
        <w:ind w:left="1499" w:right="1776" w:firstLine="0"/>
        <w:jc w:val="center"/>
        <w:rPr>
          <w:b/>
          <w:sz w:val="22"/>
        </w:rPr>
      </w:pPr>
      <w:bookmarkStart w:name="Provider Collaboration Board Terms of Re" w:id="3"/>
      <w:bookmarkEnd w:id="3"/>
      <w:r>
        <w:rPr/>
      </w:r>
      <w:r>
        <w:rPr>
          <w:b/>
          <w:sz w:val="22"/>
        </w:rPr>
        <w:t>Provider Collaboration Board Terms of Reference Version 3</w:t>
      </w:r>
    </w:p>
    <w:p>
      <w:pPr>
        <w:pStyle w:val="BodyText"/>
        <w:rPr>
          <w:b/>
          <w:sz w:val="24"/>
        </w:rPr>
      </w:pPr>
    </w:p>
    <w:p>
      <w:pPr>
        <w:pStyle w:val="BodyText"/>
        <w:rPr>
          <w:b/>
          <w:sz w:val="24"/>
        </w:rPr>
      </w:pPr>
    </w:p>
    <w:p>
      <w:pPr>
        <w:pStyle w:val="ListParagraph"/>
        <w:numPr>
          <w:ilvl w:val="0"/>
          <w:numId w:val="1"/>
        </w:numPr>
        <w:tabs>
          <w:tab w:pos="840" w:val="left" w:leader="none"/>
          <w:tab w:pos="841" w:val="left" w:leader="none"/>
        </w:tabs>
        <w:spacing w:line="240" w:lineRule="auto" w:before="205" w:after="0"/>
        <w:ind w:left="840" w:right="0" w:hanging="721"/>
        <w:jc w:val="left"/>
        <w:rPr>
          <w:b/>
          <w:sz w:val="22"/>
        </w:rPr>
      </w:pPr>
      <w:r>
        <w:rPr>
          <w:b/>
          <w:sz w:val="22"/>
        </w:rPr>
        <w:t>Introduction</w:t>
      </w:r>
    </w:p>
    <w:p>
      <w:pPr>
        <w:pStyle w:val="BodyText"/>
        <w:spacing w:before="2"/>
        <w:ind w:left="119" w:right="395"/>
        <w:jc w:val="both"/>
      </w:pPr>
      <w:r>
        <w:rPr/>
        <w:t>Lancashire and South Cumbria Provider Collaboration Board (PCB) is a formal joint working and delegation arrangement between</w:t>
      </w:r>
    </w:p>
    <w:p>
      <w:pPr>
        <w:pStyle w:val="BodyText"/>
        <w:spacing w:before="10"/>
        <w:rPr>
          <w:sz w:val="20"/>
        </w:rPr>
      </w:pPr>
    </w:p>
    <w:p>
      <w:pPr>
        <w:pStyle w:val="ListParagraph"/>
        <w:numPr>
          <w:ilvl w:val="1"/>
          <w:numId w:val="1"/>
        </w:numPr>
        <w:tabs>
          <w:tab w:pos="840" w:val="left" w:leader="none"/>
          <w:tab w:pos="841" w:val="left" w:leader="none"/>
        </w:tabs>
        <w:spacing w:line="269" w:lineRule="exact" w:before="0" w:after="0"/>
        <w:ind w:left="840" w:right="0" w:hanging="362"/>
        <w:jc w:val="left"/>
        <w:rPr>
          <w:sz w:val="22"/>
        </w:rPr>
      </w:pPr>
      <w:r>
        <w:rPr>
          <w:sz w:val="22"/>
        </w:rPr>
        <w:t>Blackpool Teaching Hospitals NHS Foundation Trust</w:t>
      </w:r>
      <w:r>
        <w:rPr>
          <w:spacing w:val="-3"/>
          <w:sz w:val="22"/>
        </w:rPr>
        <w:t> </w:t>
      </w:r>
      <w:r>
        <w:rPr>
          <w:sz w:val="22"/>
        </w:rPr>
        <w:t>(BTHT)</w:t>
      </w:r>
    </w:p>
    <w:p>
      <w:pPr>
        <w:pStyle w:val="ListParagraph"/>
        <w:numPr>
          <w:ilvl w:val="1"/>
          <w:numId w:val="1"/>
        </w:numPr>
        <w:tabs>
          <w:tab w:pos="840" w:val="left" w:leader="none"/>
          <w:tab w:pos="841" w:val="left" w:leader="none"/>
        </w:tabs>
        <w:spacing w:line="268" w:lineRule="exact" w:before="0" w:after="0"/>
        <w:ind w:left="840" w:right="0" w:hanging="361"/>
        <w:jc w:val="left"/>
        <w:rPr>
          <w:sz w:val="22"/>
        </w:rPr>
      </w:pPr>
      <w:r>
        <w:rPr>
          <w:sz w:val="22"/>
        </w:rPr>
        <w:t>East Lancashire Hospitals NHS Trust</w:t>
      </w:r>
      <w:r>
        <w:rPr>
          <w:spacing w:val="2"/>
          <w:sz w:val="22"/>
        </w:rPr>
        <w:t> </w:t>
      </w:r>
      <w:r>
        <w:rPr>
          <w:sz w:val="22"/>
        </w:rPr>
        <w:t>(ELHT)</w:t>
      </w:r>
    </w:p>
    <w:p>
      <w:pPr>
        <w:pStyle w:val="ListParagraph"/>
        <w:numPr>
          <w:ilvl w:val="1"/>
          <w:numId w:val="1"/>
        </w:numPr>
        <w:tabs>
          <w:tab w:pos="841" w:val="left" w:leader="none"/>
          <w:tab w:pos="842" w:val="left" w:leader="none"/>
        </w:tabs>
        <w:spacing w:line="268" w:lineRule="exact" w:before="0" w:after="0"/>
        <w:ind w:left="841" w:right="0" w:hanging="361"/>
        <w:jc w:val="left"/>
        <w:rPr>
          <w:sz w:val="22"/>
        </w:rPr>
      </w:pPr>
      <w:r>
        <w:rPr>
          <w:sz w:val="22"/>
        </w:rPr>
        <w:t>Lancashire Teaching Hospitals NHS Foundation Trust</w:t>
      </w:r>
      <w:r>
        <w:rPr>
          <w:spacing w:val="-27"/>
          <w:sz w:val="22"/>
        </w:rPr>
        <w:t> </w:t>
      </w:r>
      <w:r>
        <w:rPr>
          <w:sz w:val="22"/>
        </w:rPr>
        <w:t>(LTHT)</w:t>
      </w:r>
    </w:p>
    <w:p>
      <w:pPr>
        <w:pStyle w:val="ListParagraph"/>
        <w:numPr>
          <w:ilvl w:val="1"/>
          <w:numId w:val="1"/>
        </w:numPr>
        <w:tabs>
          <w:tab w:pos="841" w:val="left" w:leader="none"/>
          <w:tab w:pos="842" w:val="left" w:leader="none"/>
        </w:tabs>
        <w:spacing w:line="268" w:lineRule="exact" w:before="0" w:after="0"/>
        <w:ind w:left="841" w:right="0" w:hanging="361"/>
        <w:jc w:val="left"/>
        <w:rPr>
          <w:sz w:val="22"/>
        </w:rPr>
      </w:pPr>
      <w:r>
        <w:rPr>
          <w:sz w:val="22"/>
        </w:rPr>
        <w:t>Lancashire and South Cumbria NHS Foundation Trust</w:t>
      </w:r>
      <w:r>
        <w:rPr>
          <w:spacing w:val="-26"/>
          <w:sz w:val="22"/>
        </w:rPr>
        <w:t> </w:t>
      </w:r>
      <w:r>
        <w:rPr>
          <w:sz w:val="22"/>
        </w:rPr>
        <w:t>(LSCT)</w:t>
      </w:r>
    </w:p>
    <w:p>
      <w:pPr>
        <w:pStyle w:val="ListParagraph"/>
        <w:numPr>
          <w:ilvl w:val="1"/>
          <w:numId w:val="1"/>
        </w:numPr>
        <w:tabs>
          <w:tab w:pos="842" w:val="left" w:leader="none"/>
          <w:tab w:pos="843" w:val="left" w:leader="none"/>
        </w:tabs>
        <w:spacing w:line="268" w:lineRule="exact" w:before="0" w:after="0"/>
        <w:ind w:left="842" w:right="0" w:hanging="361"/>
        <w:jc w:val="left"/>
        <w:rPr>
          <w:sz w:val="22"/>
        </w:rPr>
      </w:pPr>
      <w:r>
        <w:rPr>
          <w:sz w:val="22"/>
        </w:rPr>
        <w:t>University Hospitals Morecambe Bay NHS Trust</w:t>
      </w:r>
      <w:r>
        <w:rPr>
          <w:spacing w:val="-3"/>
          <w:sz w:val="22"/>
        </w:rPr>
        <w:t> </w:t>
      </w:r>
      <w:r>
        <w:rPr>
          <w:sz w:val="22"/>
        </w:rPr>
        <w:t>(UHMBT)</w:t>
      </w:r>
    </w:p>
    <w:p>
      <w:pPr>
        <w:pStyle w:val="BodyText"/>
        <w:spacing w:before="7"/>
        <w:rPr>
          <w:sz w:val="20"/>
        </w:rPr>
      </w:pPr>
    </w:p>
    <w:p>
      <w:pPr>
        <w:pStyle w:val="BodyText"/>
        <w:ind w:left="122" w:right="391"/>
        <w:jc w:val="both"/>
      </w:pPr>
      <w:r>
        <w:rPr/>
        <w:t>(the Trusts) who are NHS providers within NHS Lancashire and South Cumbria Integrated Care System (ICS). The Trusts have agreed to reconstitute the existing PCB as a joint committee of them to enable increased collaboration and to commit to collective, binding decisions.</w:t>
      </w:r>
    </w:p>
    <w:p>
      <w:pPr>
        <w:pStyle w:val="BodyText"/>
        <w:spacing w:before="11"/>
        <w:rPr>
          <w:sz w:val="21"/>
        </w:rPr>
      </w:pPr>
    </w:p>
    <w:p>
      <w:pPr>
        <w:pStyle w:val="Heading2"/>
        <w:numPr>
          <w:ilvl w:val="0"/>
          <w:numId w:val="1"/>
        </w:numPr>
        <w:tabs>
          <w:tab w:pos="844" w:val="left" w:leader="none"/>
          <w:tab w:pos="845" w:val="left" w:leader="none"/>
        </w:tabs>
        <w:spacing w:line="240" w:lineRule="auto" w:before="0" w:after="0"/>
        <w:ind w:left="844" w:right="0" w:hanging="721"/>
        <w:jc w:val="left"/>
      </w:pPr>
      <w:r>
        <w:rPr/>
        <w:t>Name</w:t>
      </w:r>
    </w:p>
    <w:p>
      <w:pPr>
        <w:pStyle w:val="BodyText"/>
        <w:spacing w:before="2"/>
        <w:ind w:left="124"/>
        <w:jc w:val="both"/>
      </w:pPr>
      <w:bookmarkStart w:name="Lancashire and South Cumbria Provider Co" w:id="4"/>
      <w:bookmarkEnd w:id="4"/>
      <w:r>
        <w:rPr/>
      </w:r>
      <w:r>
        <w:rPr/>
        <w:t>Lancashire and South Cumbria Provider Collaboration Board (PCB).</w:t>
      </w:r>
    </w:p>
    <w:p>
      <w:pPr>
        <w:pStyle w:val="BodyText"/>
      </w:pPr>
    </w:p>
    <w:p>
      <w:pPr>
        <w:pStyle w:val="Heading2"/>
        <w:numPr>
          <w:ilvl w:val="0"/>
          <w:numId w:val="1"/>
        </w:numPr>
        <w:tabs>
          <w:tab w:pos="844" w:val="left" w:leader="none"/>
          <w:tab w:pos="845" w:val="left" w:leader="none"/>
        </w:tabs>
        <w:spacing w:line="252" w:lineRule="exact" w:before="0" w:after="0"/>
        <w:ind w:left="844" w:right="0" w:hanging="721"/>
        <w:jc w:val="left"/>
      </w:pPr>
      <w:r>
        <w:rPr/>
        <w:t>Establishment</w:t>
      </w:r>
    </w:p>
    <w:p>
      <w:pPr>
        <w:pStyle w:val="BodyText"/>
        <w:ind w:left="125" w:right="944" w:hanging="1"/>
      </w:pPr>
      <w:r>
        <w:rPr/>
        <w:t>Each Trust Board has formally approved constituting the PCB as a joint committee with delegated functions in accordance with these terms of reference.</w:t>
      </w:r>
    </w:p>
    <w:p>
      <w:pPr>
        <w:pStyle w:val="BodyText"/>
        <w:spacing w:before="10"/>
        <w:rPr>
          <w:sz w:val="21"/>
        </w:rPr>
      </w:pPr>
    </w:p>
    <w:p>
      <w:pPr>
        <w:pStyle w:val="Heading2"/>
        <w:numPr>
          <w:ilvl w:val="0"/>
          <w:numId w:val="1"/>
        </w:numPr>
        <w:tabs>
          <w:tab w:pos="845" w:val="left" w:leader="none"/>
          <w:tab w:pos="847" w:val="left" w:leader="none"/>
        </w:tabs>
        <w:spacing w:line="240" w:lineRule="auto" w:before="0" w:after="0"/>
        <w:ind w:left="846" w:right="0" w:hanging="721"/>
        <w:jc w:val="left"/>
      </w:pPr>
      <w:r>
        <w:rPr/>
        <w:t>Aims and</w:t>
      </w:r>
      <w:r>
        <w:rPr>
          <w:spacing w:val="-5"/>
        </w:rPr>
        <w:t> </w:t>
      </w:r>
      <w:r>
        <w:rPr/>
        <w:t>Objectives</w:t>
      </w:r>
    </w:p>
    <w:p>
      <w:pPr>
        <w:pStyle w:val="BodyText"/>
        <w:spacing w:before="2"/>
        <w:ind w:left="126"/>
      </w:pPr>
      <w:r>
        <w:rPr/>
        <w:t>The PCB aims to enable greater collaboration between the Trusts to:</w:t>
      </w:r>
    </w:p>
    <w:p>
      <w:pPr>
        <w:pStyle w:val="ListParagraph"/>
        <w:numPr>
          <w:ilvl w:val="0"/>
          <w:numId w:val="2"/>
        </w:numPr>
        <w:tabs>
          <w:tab w:pos="583" w:val="left" w:leader="none"/>
          <w:tab w:pos="584" w:val="left" w:leader="none"/>
        </w:tabs>
        <w:spacing w:line="235" w:lineRule="auto" w:before="5" w:after="0"/>
        <w:ind w:left="583" w:right="682" w:hanging="464"/>
        <w:jc w:val="left"/>
        <w:rPr>
          <w:sz w:val="22"/>
        </w:rPr>
      </w:pPr>
      <w:r>
        <w:rPr>
          <w:sz w:val="22"/>
        </w:rPr>
        <w:t>Improve the pace of decision making to enable better patient outcomes and quality </w:t>
      </w:r>
      <w:r>
        <w:rPr>
          <w:spacing w:val="-3"/>
          <w:sz w:val="22"/>
        </w:rPr>
        <w:t>of </w:t>
      </w:r>
      <w:r>
        <w:rPr>
          <w:sz w:val="22"/>
        </w:rPr>
        <w:t>patient</w:t>
      </w:r>
      <w:r>
        <w:rPr>
          <w:spacing w:val="1"/>
          <w:sz w:val="22"/>
        </w:rPr>
        <w:t> </w:t>
      </w:r>
      <w:r>
        <w:rPr>
          <w:sz w:val="22"/>
        </w:rPr>
        <w:t>care</w:t>
      </w:r>
    </w:p>
    <w:p>
      <w:pPr>
        <w:pStyle w:val="ListParagraph"/>
        <w:numPr>
          <w:ilvl w:val="0"/>
          <w:numId w:val="2"/>
        </w:numPr>
        <w:tabs>
          <w:tab w:pos="583" w:val="left" w:leader="none"/>
          <w:tab w:pos="584" w:val="left" w:leader="none"/>
        </w:tabs>
        <w:spacing w:line="237" w:lineRule="auto" w:before="5" w:after="0"/>
        <w:ind w:left="583" w:right="544" w:hanging="464"/>
        <w:jc w:val="left"/>
        <w:rPr>
          <w:sz w:val="22"/>
        </w:rPr>
      </w:pPr>
      <w:r>
        <w:rPr>
          <w:sz w:val="22"/>
        </w:rPr>
        <w:t>Provide NHS Lancashire and South Cumbria Integrated Care Board (the ICB), </w:t>
      </w:r>
      <w:r>
        <w:rPr>
          <w:spacing w:val="-2"/>
          <w:sz w:val="22"/>
        </w:rPr>
        <w:t>NHS </w:t>
      </w:r>
      <w:r>
        <w:rPr>
          <w:sz w:val="22"/>
        </w:rPr>
        <w:t>England, local authorities and the wider ICS with a single, collective view of the </w:t>
      </w:r>
      <w:r>
        <w:rPr>
          <w:sz w:val="24"/>
        </w:rPr>
        <w:t>Trusts </w:t>
      </w:r>
      <w:r>
        <w:rPr>
          <w:sz w:val="22"/>
        </w:rPr>
        <w:t>on proposals for service</w:t>
      </w:r>
      <w:r>
        <w:rPr>
          <w:spacing w:val="-2"/>
          <w:sz w:val="22"/>
        </w:rPr>
        <w:t> </w:t>
      </w:r>
      <w:r>
        <w:rPr>
          <w:sz w:val="22"/>
        </w:rPr>
        <w:t>change</w:t>
      </w:r>
    </w:p>
    <w:p>
      <w:pPr>
        <w:pStyle w:val="ListParagraph"/>
        <w:numPr>
          <w:ilvl w:val="0"/>
          <w:numId w:val="2"/>
        </w:numPr>
        <w:tabs>
          <w:tab w:pos="583" w:val="left" w:leader="none"/>
          <w:tab w:pos="584" w:val="left" w:leader="none"/>
        </w:tabs>
        <w:spacing w:line="237" w:lineRule="auto" w:before="2" w:after="0"/>
        <w:ind w:left="583" w:right="826" w:hanging="464"/>
        <w:jc w:val="left"/>
        <w:rPr>
          <w:sz w:val="22"/>
        </w:rPr>
      </w:pPr>
      <w:r>
        <w:rPr>
          <w:sz w:val="22"/>
        </w:rPr>
        <w:t>Develop shared clinical and other services across Lancashire and South Cumbria including the associated operating delivery and governance models which they may agree to adapt,</w:t>
      </w:r>
      <w:r>
        <w:rPr>
          <w:spacing w:val="-3"/>
          <w:sz w:val="22"/>
        </w:rPr>
        <w:t> </w:t>
      </w:r>
      <w:r>
        <w:rPr>
          <w:sz w:val="22"/>
        </w:rPr>
        <w:t>and</w:t>
      </w:r>
    </w:p>
    <w:p>
      <w:pPr>
        <w:pStyle w:val="ListParagraph"/>
        <w:numPr>
          <w:ilvl w:val="0"/>
          <w:numId w:val="2"/>
        </w:numPr>
        <w:tabs>
          <w:tab w:pos="583" w:val="left" w:leader="none"/>
          <w:tab w:pos="584" w:val="left" w:leader="none"/>
        </w:tabs>
        <w:spacing w:line="237" w:lineRule="auto" w:before="4" w:after="0"/>
        <w:ind w:left="583" w:right="531" w:hanging="464"/>
        <w:jc w:val="left"/>
        <w:rPr>
          <w:sz w:val="22"/>
        </w:rPr>
      </w:pPr>
      <w:r>
        <w:rPr>
          <w:sz w:val="22"/>
        </w:rPr>
        <w:t>Support financial stability and sustainability through reduced duplication and better use of existing</w:t>
      </w:r>
      <w:r>
        <w:rPr>
          <w:spacing w:val="2"/>
          <w:sz w:val="22"/>
        </w:rPr>
        <w:t> </w:t>
      </w:r>
      <w:r>
        <w:rPr>
          <w:sz w:val="22"/>
        </w:rPr>
        <w:t>resources</w:t>
      </w:r>
    </w:p>
    <w:p>
      <w:pPr>
        <w:pStyle w:val="ListParagraph"/>
        <w:numPr>
          <w:ilvl w:val="0"/>
          <w:numId w:val="2"/>
        </w:numPr>
        <w:tabs>
          <w:tab w:pos="583" w:val="left" w:leader="none"/>
          <w:tab w:pos="584" w:val="left" w:leader="none"/>
        </w:tabs>
        <w:spacing w:line="276" w:lineRule="exact" w:before="0" w:after="0"/>
        <w:ind w:left="583" w:right="0" w:hanging="464"/>
        <w:jc w:val="left"/>
        <w:rPr>
          <w:sz w:val="22"/>
        </w:rPr>
      </w:pPr>
      <w:r>
        <w:rPr>
          <w:sz w:val="22"/>
        </w:rPr>
        <w:t>Implement, manage and oversee shared corporate services on behalf of the</w:t>
      </w:r>
      <w:r>
        <w:rPr>
          <w:spacing w:val="-18"/>
          <w:sz w:val="22"/>
        </w:rPr>
        <w:t> </w:t>
      </w:r>
      <w:r>
        <w:rPr>
          <w:sz w:val="22"/>
        </w:rPr>
        <w:t>Trusts.</w:t>
      </w:r>
    </w:p>
    <w:p>
      <w:pPr>
        <w:pStyle w:val="BodyText"/>
        <w:spacing w:before="7"/>
        <w:rPr>
          <w:sz w:val="21"/>
        </w:rPr>
      </w:pPr>
    </w:p>
    <w:p>
      <w:pPr>
        <w:pStyle w:val="Heading2"/>
        <w:numPr>
          <w:ilvl w:val="0"/>
          <w:numId w:val="1"/>
        </w:numPr>
        <w:tabs>
          <w:tab w:pos="840" w:val="left" w:leader="none"/>
          <w:tab w:pos="841" w:val="left" w:leader="none"/>
        </w:tabs>
        <w:spacing w:line="252" w:lineRule="exact" w:before="0" w:after="0"/>
        <w:ind w:left="840" w:right="0" w:hanging="721"/>
        <w:jc w:val="left"/>
      </w:pPr>
      <w:r>
        <w:rPr/>
        <w:t>Delegated Duties and</w:t>
      </w:r>
      <w:r>
        <w:rPr>
          <w:spacing w:val="-4"/>
        </w:rPr>
        <w:t> </w:t>
      </w:r>
      <w:r>
        <w:rPr/>
        <w:t>Responsibilities</w:t>
      </w:r>
    </w:p>
    <w:p>
      <w:pPr>
        <w:pStyle w:val="BodyText"/>
        <w:spacing w:line="252" w:lineRule="exact"/>
        <w:ind w:left="120"/>
      </w:pPr>
      <w:r>
        <w:rPr/>
        <w:t>Each of the Trusts has agreed to delegate to the PCB the exercise of its functions for:</w:t>
      </w:r>
    </w:p>
    <w:p>
      <w:pPr>
        <w:pStyle w:val="ListParagraph"/>
        <w:numPr>
          <w:ilvl w:val="0"/>
          <w:numId w:val="3"/>
        </w:numPr>
        <w:tabs>
          <w:tab w:pos="481" w:val="left" w:leader="none"/>
          <w:tab w:pos="482" w:val="left" w:leader="none"/>
        </w:tabs>
        <w:spacing w:line="268" w:lineRule="exact" w:before="39" w:after="0"/>
        <w:ind w:left="481" w:right="0" w:hanging="361"/>
        <w:jc w:val="left"/>
        <w:rPr>
          <w:rFonts w:ascii="Symbol" w:hAnsi="Symbol"/>
          <w:sz w:val="22"/>
        </w:rPr>
      </w:pPr>
      <w:r>
        <w:rPr>
          <w:sz w:val="22"/>
        </w:rPr>
        <w:t>Key strategic service transformation priorities as defined by the ICS and</w:t>
      </w:r>
      <w:r>
        <w:rPr>
          <w:spacing w:val="-28"/>
          <w:sz w:val="22"/>
        </w:rPr>
        <w:t> </w:t>
      </w:r>
      <w:r>
        <w:rPr>
          <w:sz w:val="22"/>
        </w:rPr>
        <w:t>commissioners;</w:t>
      </w:r>
    </w:p>
    <w:p>
      <w:pPr>
        <w:pStyle w:val="ListParagraph"/>
        <w:numPr>
          <w:ilvl w:val="0"/>
          <w:numId w:val="3"/>
        </w:numPr>
        <w:tabs>
          <w:tab w:pos="481" w:val="left" w:leader="none"/>
          <w:tab w:pos="482" w:val="left" w:leader="none"/>
        </w:tabs>
        <w:spacing w:line="268" w:lineRule="exact" w:before="0" w:after="0"/>
        <w:ind w:left="481" w:right="0" w:hanging="361"/>
        <w:jc w:val="left"/>
        <w:rPr>
          <w:rFonts w:ascii="Symbol" w:hAnsi="Symbol"/>
          <w:sz w:val="22"/>
        </w:rPr>
      </w:pPr>
      <w:r>
        <w:rPr>
          <w:sz w:val="22"/>
        </w:rPr>
        <w:t>Key priorities for provider productivity</w:t>
      </w:r>
      <w:r>
        <w:rPr>
          <w:spacing w:val="-1"/>
          <w:sz w:val="22"/>
        </w:rPr>
        <w:t> </w:t>
      </w:r>
      <w:r>
        <w:rPr>
          <w:sz w:val="22"/>
        </w:rPr>
        <w:t>improvement</w:t>
      </w:r>
    </w:p>
    <w:p>
      <w:pPr>
        <w:pStyle w:val="ListParagraph"/>
        <w:numPr>
          <w:ilvl w:val="0"/>
          <w:numId w:val="3"/>
        </w:numPr>
        <w:tabs>
          <w:tab w:pos="481" w:val="left" w:leader="none"/>
          <w:tab w:pos="482" w:val="left" w:leader="none"/>
        </w:tabs>
        <w:spacing w:line="237" w:lineRule="auto" w:before="2" w:after="0"/>
        <w:ind w:left="481" w:right="1174" w:hanging="361"/>
        <w:jc w:val="left"/>
        <w:rPr>
          <w:rFonts w:ascii="Symbol" w:hAnsi="Symbol"/>
          <w:sz w:val="22"/>
        </w:rPr>
      </w:pPr>
      <w:r>
        <w:rPr>
          <w:sz w:val="22"/>
        </w:rPr>
        <w:t>Key opportunities for developing standardised approaches to service change and delivery</w:t>
      </w:r>
    </w:p>
    <w:p>
      <w:pPr>
        <w:pStyle w:val="ListParagraph"/>
        <w:numPr>
          <w:ilvl w:val="0"/>
          <w:numId w:val="3"/>
        </w:numPr>
        <w:tabs>
          <w:tab w:pos="481" w:val="left" w:leader="none"/>
          <w:tab w:pos="483" w:val="left" w:leader="none"/>
        </w:tabs>
        <w:spacing w:line="269" w:lineRule="exact" w:before="1" w:after="0"/>
        <w:ind w:left="482" w:right="0" w:hanging="362"/>
        <w:jc w:val="left"/>
        <w:rPr>
          <w:rFonts w:ascii="Symbol" w:hAnsi="Symbol"/>
          <w:sz w:val="22"/>
        </w:rPr>
      </w:pPr>
      <w:r>
        <w:rPr>
          <w:sz w:val="22"/>
        </w:rPr>
        <w:t>Shared clinical services for community</w:t>
      </w:r>
      <w:r>
        <w:rPr>
          <w:spacing w:val="-4"/>
          <w:sz w:val="22"/>
        </w:rPr>
        <w:t> </w:t>
      </w:r>
      <w:r>
        <w:rPr>
          <w:sz w:val="22"/>
        </w:rPr>
        <w:t>services</w:t>
      </w:r>
    </w:p>
    <w:p>
      <w:pPr>
        <w:pStyle w:val="ListParagraph"/>
        <w:numPr>
          <w:ilvl w:val="0"/>
          <w:numId w:val="3"/>
        </w:numPr>
        <w:tabs>
          <w:tab w:pos="481" w:val="left" w:leader="none"/>
          <w:tab w:pos="483" w:val="left" w:leader="none"/>
        </w:tabs>
        <w:spacing w:line="240" w:lineRule="auto" w:before="0" w:after="0"/>
        <w:ind w:left="482" w:right="832" w:hanging="361"/>
        <w:jc w:val="left"/>
        <w:rPr>
          <w:rFonts w:ascii="Symbol" w:hAnsi="Symbol"/>
          <w:sz w:val="22"/>
        </w:rPr>
      </w:pPr>
      <w:r>
        <w:rPr>
          <w:sz w:val="22"/>
        </w:rPr>
        <w:t>Shared corporate services for: bank and agency workers; procurement; and financial transactions including a single financial ledger and</w:t>
      </w:r>
      <w:r>
        <w:rPr>
          <w:spacing w:val="-3"/>
          <w:sz w:val="22"/>
        </w:rPr>
        <w:t> </w:t>
      </w:r>
      <w:r>
        <w:rPr>
          <w:sz w:val="22"/>
        </w:rPr>
        <w:t>payroll.</w:t>
      </w:r>
    </w:p>
    <w:p>
      <w:pPr>
        <w:spacing w:after="0" w:line="240" w:lineRule="auto"/>
        <w:jc w:val="left"/>
        <w:rPr>
          <w:rFonts w:ascii="Symbol" w:hAnsi="Symbol"/>
          <w:sz w:val="22"/>
        </w:rPr>
        <w:sectPr>
          <w:pgSz w:w="11910" w:h="16840"/>
          <w:pgMar w:header="0" w:footer="1002" w:top="1360" w:bottom="1200" w:left="1320" w:right="1040"/>
        </w:sectPr>
      </w:pPr>
    </w:p>
    <w:p>
      <w:pPr>
        <w:pStyle w:val="BodyText"/>
        <w:spacing w:line="242" w:lineRule="auto" w:before="81"/>
        <w:ind w:left="120" w:right="605"/>
      </w:pPr>
      <w:r>
        <w:rPr/>
        <w:t>Additionally BTHT, ELHT, LTHT and UHMBT have agreed to delegate to the PCB the exercise of functions for shared strategic priorities for pathology services that are set out in Part 2 of Appendix A.</w:t>
      </w:r>
    </w:p>
    <w:p>
      <w:pPr>
        <w:pStyle w:val="BodyText"/>
        <w:spacing w:before="4"/>
        <w:rPr>
          <w:sz w:val="20"/>
        </w:rPr>
      </w:pPr>
    </w:p>
    <w:p>
      <w:pPr>
        <w:pStyle w:val="BodyText"/>
        <w:ind w:left="120" w:right="420"/>
      </w:pPr>
      <w:r>
        <w:rPr/>
        <w:t>The PCB’s workplan is set out in Appendix A. The PCB shall review its workplan as often as it consider necessary and at least annually with a view to agreeing updates to Appendix A in accordance with section 7 of these terms of reference and always subject to being within its delegated authority.</w:t>
      </w:r>
    </w:p>
    <w:p>
      <w:pPr>
        <w:pStyle w:val="BodyText"/>
        <w:spacing w:before="4"/>
        <w:rPr>
          <w:sz w:val="25"/>
        </w:rPr>
      </w:pPr>
    </w:p>
    <w:p>
      <w:pPr>
        <w:pStyle w:val="BodyText"/>
        <w:ind w:left="120" w:right="606"/>
      </w:pPr>
      <w:r>
        <w:rPr/>
        <w:t>The PCB shall exercise such further functions as the Trusts may delegate to it from time to time.</w:t>
      </w:r>
    </w:p>
    <w:p>
      <w:pPr>
        <w:pStyle w:val="BodyText"/>
        <w:spacing w:before="5"/>
        <w:rPr>
          <w:sz w:val="25"/>
        </w:rPr>
      </w:pPr>
    </w:p>
    <w:p>
      <w:pPr>
        <w:pStyle w:val="BodyText"/>
        <w:spacing w:before="1"/>
        <w:ind w:left="120" w:right="398" w:hanging="1"/>
      </w:pPr>
      <w:r>
        <w:rPr/>
        <w:t>In exercising delegated functions the PCB shall provide a single, collective view of the Trusts at all levels of the ICS through an agreed annual work programme relating to the delegated functions that promotes the best interests of the whole population.</w:t>
      </w:r>
    </w:p>
    <w:p>
      <w:pPr>
        <w:pStyle w:val="BodyText"/>
        <w:spacing w:before="9"/>
        <w:rPr>
          <w:sz w:val="21"/>
        </w:rPr>
      </w:pPr>
    </w:p>
    <w:p>
      <w:pPr>
        <w:pStyle w:val="Heading2"/>
        <w:numPr>
          <w:ilvl w:val="0"/>
          <w:numId w:val="1"/>
        </w:numPr>
        <w:tabs>
          <w:tab w:pos="842" w:val="left" w:leader="none"/>
        </w:tabs>
        <w:spacing w:line="240" w:lineRule="auto" w:before="0" w:after="0"/>
        <w:ind w:left="841" w:right="0" w:hanging="721"/>
        <w:jc w:val="both"/>
      </w:pPr>
      <w:r>
        <w:rPr/>
        <w:t>Accountabilities and reporting lines/governance</w:t>
      </w:r>
      <w:r>
        <w:rPr>
          <w:spacing w:val="-5"/>
        </w:rPr>
        <w:t> </w:t>
      </w:r>
      <w:r>
        <w:rPr/>
        <w:t>structure</w:t>
      </w:r>
    </w:p>
    <w:p>
      <w:pPr>
        <w:pStyle w:val="BodyText"/>
        <w:spacing w:before="2"/>
        <w:ind w:left="121" w:right="394"/>
        <w:jc w:val="both"/>
      </w:pPr>
      <w:r>
        <w:rPr/>
        <w:t>The PCB is one part of an overall public sector service transformation programme within the ICS led by the ICB. The PCB will work within the existing structure of organisations and existing legal frameworks.</w:t>
      </w:r>
    </w:p>
    <w:p>
      <w:pPr>
        <w:pStyle w:val="BodyText"/>
        <w:spacing w:before="9"/>
        <w:rPr>
          <w:sz w:val="21"/>
        </w:rPr>
      </w:pPr>
    </w:p>
    <w:p>
      <w:pPr>
        <w:pStyle w:val="BodyText"/>
        <w:ind w:left="120" w:right="400"/>
        <w:jc w:val="both"/>
      </w:pPr>
      <w:r>
        <w:rPr/>
        <w:t>The principle of subsidiarity will be applied to the work programme of the PCB; issues will be addressed at the most appropriate level of decision making.</w:t>
      </w:r>
    </w:p>
    <w:p>
      <w:pPr>
        <w:pStyle w:val="BodyText"/>
        <w:spacing w:before="2"/>
      </w:pPr>
    </w:p>
    <w:p>
      <w:pPr>
        <w:pStyle w:val="Heading2"/>
        <w:numPr>
          <w:ilvl w:val="0"/>
          <w:numId w:val="1"/>
        </w:numPr>
        <w:tabs>
          <w:tab w:pos="841" w:val="left" w:leader="none"/>
          <w:tab w:pos="842" w:val="left" w:leader="none"/>
        </w:tabs>
        <w:spacing w:line="252" w:lineRule="exact" w:before="0" w:after="0"/>
        <w:ind w:left="841" w:right="0" w:hanging="721"/>
        <w:jc w:val="left"/>
      </w:pPr>
      <w:r>
        <w:rPr/>
        <w:t>Decision</w:t>
      </w:r>
      <w:r>
        <w:rPr>
          <w:spacing w:val="-3"/>
        </w:rPr>
        <w:t> </w:t>
      </w:r>
      <w:r>
        <w:rPr/>
        <w:t>Making</w:t>
      </w:r>
    </w:p>
    <w:p>
      <w:pPr>
        <w:pStyle w:val="BodyText"/>
        <w:ind w:left="121" w:right="944" w:hanging="1"/>
      </w:pPr>
      <w:r>
        <w:rPr/>
        <w:t>The PCB will operate as a joint committee. Each Board has delegated decision making authority to the PCB so the PCB may make collective decisions that bind the Trusts in relation to its delegated duties and responsibilities.</w:t>
      </w:r>
    </w:p>
    <w:p>
      <w:pPr>
        <w:pStyle w:val="BodyText"/>
      </w:pPr>
    </w:p>
    <w:p>
      <w:pPr>
        <w:pStyle w:val="BodyText"/>
        <w:ind w:left="122" w:right="408"/>
      </w:pPr>
      <w:r>
        <w:rPr/>
        <w:t>For issues that are entirely in the scope of the responsibility of the Trusts (e.g. additional corporate services functions) and those identified by providers that may require the consent / support of commissioners, there will be an initiation stage unless these terms of reference provide otherwise. Such issues will require support from a simple majority (number of votes) of the PCB to proceed to the case for change stage and be added to the PCB workplan. For those issues that require commissioner support, consideration will be given at the initiation and case for change stages, to agreeing at which stage in the process commissioner support should be</w:t>
      </w:r>
      <w:r>
        <w:rPr>
          <w:spacing w:val="-3"/>
        </w:rPr>
        <w:t> </w:t>
      </w:r>
      <w:r>
        <w:rPr/>
        <w:t>sought.</w:t>
      </w:r>
    </w:p>
    <w:p>
      <w:pPr>
        <w:pStyle w:val="BodyText"/>
      </w:pPr>
    </w:p>
    <w:p>
      <w:pPr>
        <w:pStyle w:val="BodyText"/>
        <w:ind w:left="120"/>
        <w:jc w:val="both"/>
      </w:pPr>
      <w:r>
        <w:rPr/>
        <w:t>Issues that are set out in Annex A do not require any further initiation stage.</w:t>
      </w:r>
    </w:p>
    <w:p>
      <w:pPr>
        <w:pStyle w:val="BodyText"/>
      </w:pPr>
    </w:p>
    <w:p>
      <w:pPr>
        <w:pStyle w:val="BodyText"/>
        <w:spacing w:before="1"/>
        <w:ind w:left="120" w:right="445" w:hanging="1"/>
        <w:jc w:val="both"/>
      </w:pPr>
      <w:r>
        <w:rPr/>
        <w:t>Issues to be decided by the PCB will be categorised as either Category 1 or 2. Categories 1 and 2 are defined as follows:</w:t>
      </w:r>
    </w:p>
    <w:p>
      <w:pPr>
        <w:pStyle w:val="BodyText"/>
        <w:spacing w:before="10"/>
        <w:rPr>
          <w:sz w:val="21"/>
        </w:rPr>
      </w:pPr>
    </w:p>
    <w:p>
      <w:pPr>
        <w:pStyle w:val="BodyText"/>
        <w:ind w:left="120" w:right="520"/>
      </w:pPr>
      <w:r>
        <w:rPr>
          <w:b/>
        </w:rPr>
        <w:t>Category 1 - </w:t>
      </w:r>
      <w:r>
        <w:rPr/>
        <w:t>issues determined either by the ICB or the PCB where future decisions will be binding on all Trusts; and</w:t>
      </w:r>
    </w:p>
    <w:p>
      <w:pPr>
        <w:pStyle w:val="BodyText"/>
        <w:spacing w:before="2"/>
      </w:pPr>
    </w:p>
    <w:p>
      <w:pPr>
        <w:pStyle w:val="BodyText"/>
        <w:ind w:left="119" w:right="643"/>
      </w:pPr>
      <w:bookmarkStart w:name="Category 2 - issues on which any future " w:id="5"/>
      <w:bookmarkEnd w:id="5"/>
      <w:r>
        <w:rPr/>
      </w:r>
      <w:r>
        <w:rPr>
          <w:b/>
        </w:rPr>
        <w:t>Category 2 - </w:t>
      </w:r>
      <w:r>
        <w:rPr/>
        <w:t>issues on which any future decisions are binding on the Trusts who make up the eligible constituency</w:t>
      </w:r>
    </w:p>
    <w:p>
      <w:pPr>
        <w:pStyle w:val="BodyText"/>
        <w:spacing w:before="11"/>
        <w:rPr>
          <w:sz w:val="21"/>
        </w:rPr>
      </w:pPr>
    </w:p>
    <w:p>
      <w:pPr>
        <w:pStyle w:val="BodyText"/>
        <w:ind w:left="119"/>
      </w:pPr>
      <w:r>
        <w:rPr/>
        <w:t>All PCB members will have the right to vote regardless of whether the service or issue was ‘relevant’ to them. An inclusive arrangement will enable a greater sense of collaboration and reciprocity – and where dispassionate views and opinion may assist in decision making.</w:t>
      </w:r>
    </w:p>
    <w:p>
      <w:pPr>
        <w:pStyle w:val="BodyText"/>
      </w:pPr>
    </w:p>
    <w:p>
      <w:pPr>
        <w:pStyle w:val="BodyText"/>
        <w:spacing w:before="1"/>
        <w:ind w:left="119"/>
        <w:jc w:val="both"/>
      </w:pPr>
      <w:bookmarkStart w:name="Categorisation will be assessed through," w:id="6"/>
      <w:bookmarkEnd w:id="6"/>
      <w:r>
        <w:rPr/>
      </w:r>
      <w:r>
        <w:rPr/>
        <w:t>Categorisation will be assessed through, and proposed as part of the original planning.</w:t>
      </w:r>
    </w:p>
    <w:p>
      <w:pPr>
        <w:spacing w:after="0"/>
        <w:jc w:val="both"/>
        <w:sectPr>
          <w:pgSz w:w="11910" w:h="16840"/>
          <w:pgMar w:header="0" w:footer="1002" w:top="1340" w:bottom="1200" w:left="1320" w:right="1040"/>
        </w:sectPr>
      </w:pPr>
    </w:p>
    <w:p>
      <w:pPr>
        <w:pStyle w:val="BodyText"/>
        <w:spacing w:before="93"/>
        <w:ind w:left="120" w:right="545" w:hanging="1"/>
      </w:pPr>
      <w:r>
        <w:rPr/>
        <w:t>Items/papers submitted to the PCB will make explicit whether they relate to Category 1 or 2 issues.</w:t>
      </w:r>
    </w:p>
    <w:p>
      <w:pPr>
        <w:pStyle w:val="BodyText"/>
        <w:spacing w:before="2"/>
      </w:pPr>
    </w:p>
    <w:p>
      <w:pPr>
        <w:pStyle w:val="BodyText"/>
        <w:ind w:left="120" w:right="393"/>
        <w:jc w:val="both"/>
      </w:pPr>
      <w:bookmarkStart w:name="Whilst it is expected that decisions wil" w:id="7"/>
      <w:bookmarkEnd w:id="7"/>
      <w:r>
        <w:rPr/>
      </w:r>
      <w:r>
        <w:rPr/>
        <w:t>Whilst</w:t>
      </w:r>
      <w:r>
        <w:rPr>
          <w:spacing w:val="-13"/>
        </w:rPr>
        <w:t> </w:t>
      </w:r>
      <w:r>
        <w:rPr/>
        <w:t>it</w:t>
      </w:r>
      <w:r>
        <w:rPr>
          <w:spacing w:val="-16"/>
        </w:rPr>
        <w:t> </w:t>
      </w:r>
      <w:r>
        <w:rPr/>
        <w:t>is</w:t>
      </w:r>
      <w:r>
        <w:rPr>
          <w:spacing w:val="-14"/>
        </w:rPr>
        <w:t> </w:t>
      </w:r>
      <w:r>
        <w:rPr/>
        <w:t>expected</w:t>
      </w:r>
      <w:r>
        <w:rPr>
          <w:spacing w:val="-18"/>
        </w:rPr>
        <w:t> </w:t>
      </w:r>
      <w:r>
        <w:rPr/>
        <w:t>that</w:t>
      </w:r>
      <w:r>
        <w:rPr>
          <w:spacing w:val="-18"/>
        </w:rPr>
        <w:t> </w:t>
      </w:r>
      <w:r>
        <w:rPr/>
        <w:t>decisions</w:t>
      </w:r>
      <w:r>
        <w:rPr>
          <w:spacing w:val="-14"/>
        </w:rPr>
        <w:t> </w:t>
      </w:r>
      <w:r>
        <w:rPr/>
        <w:t>will</w:t>
      </w:r>
      <w:r>
        <w:rPr>
          <w:spacing w:val="-15"/>
        </w:rPr>
        <w:t> </w:t>
      </w:r>
      <w:r>
        <w:rPr/>
        <w:t>be</w:t>
      </w:r>
      <w:r>
        <w:rPr>
          <w:spacing w:val="-14"/>
        </w:rPr>
        <w:t> </w:t>
      </w:r>
      <w:r>
        <w:rPr/>
        <w:t>achieved</w:t>
      </w:r>
      <w:r>
        <w:rPr>
          <w:spacing w:val="-17"/>
        </w:rPr>
        <w:t> </w:t>
      </w:r>
      <w:r>
        <w:rPr/>
        <w:t>through</w:t>
      </w:r>
      <w:r>
        <w:rPr>
          <w:spacing w:val="-18"/>
        </w:rPr>
        <w:t> </w:t>
      </w:r>
      <w:r>
        <w:rPr/>
        <w:t>the</w:t>
      </w:r>
      <w:r>
        <w:rPr>
          <w:spacing w:val="-17"/>
        </w:rPr>
        <w:t> </w:t>
      </w:r>
      <w:r>
        <w:rPr/>
        <w:t>usual</w:t>
      </w:r>
      <w:r>
        <w:rPr>
          <w:spacing w:val="-15"/>
        </w:rPr>
        <w:t> </w:t>
      </w:r>
      <w:r>
        <w:rPr/>
        <w:t>processes</w:t>
      </w:r>
      <w:r>
        <w:rPr>
          <w:spacing w:val="-14"/>
        </w:rPr>
        <w:t> </w:t>
      </w:r>
      <w:r>
        <w:rPr/>
        <w:t>of</w:t>
      </w:r>
      <w:r>
        <w:rPr>
          <w:spacing w:val="-15"/>
        </w:rPr>
        <w:t> </w:t>
      </w:r>
      <w:r>
        <w:rPr/>
        <w:t>consensus, it will be necessary for proposals to be put to be put to a vote in default of consensus. In the event of a vote, decisions will be approved if a qualified majority of votes is in favour. The required qualified majority will be as</w:t>
      </w:r>
      <w:r>
        <w:rPr>
          <w:spacing w:val="-4"/>
        </w:rPr>
        <w:t> </w:t>
      </w:r>
      <w:r>
        <w:rPr/>
        <w:t>follows:</w:t>
      </w:r>
    </w:p>
    <w:tbl>
      <w:tblPr>
        <w:tblW w:w="0" w:type="auto"/>
        <w:jc w:val="left"/>
        <w:tblInd w:w="1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18"/>
        <w:gridCol w:w="3262"/>
      </w:tblGrid>
      <w:tr>
        <w:trPr>
          <w:trHeight w:val="592" w:hRule="atLeast"/>
        </w:trPr>
        <w:tc>
          <w:tcPr>
            <w:tcW w:w="2518" w:type="dxa"/>
          </w:tcPr>
          <w:p>
            <w:pPr>
              <w:pStyle w:val="TableParagraph"/>
              <w:ind w:left="107" w:right="94"/>
              <w:rPr>
                <w:sz w:val="22"/>
              </w:rPr>
            </w:pPr>
            <w:r>
              <w:rPr>
                <w:sz w:val="22"/>
              </w:rPr>
              <w:t>No. of Member Trusts participating in decision</w:t>
            </w:r>
          </w:p>
        </w:tc>
        <w:tc>
          <w:tcPr>
            <w:tcW w:w="3262" w:type="dxa"/>
          </w:tcPr>
          <w:p>
            <w:pPr>
              <w:pStyle w:val="TableParagraph"/>
              <w:ind w:left="107" w:right="509"/>
              <w:rPr>
                <w:sz w:val="22"/>
              </w:rPr>
            </w:pPr>
            <w:r>
              <w:rPr>
                <w:sz w:val="22"/>
              </w:rPr>
              <w:t>Qualified voting majority % greater than or equal to (≥)</w:t>
            </w:r>
          </w:p>
        </w:tc>
      </w:tr>
      <w:tr>
        <w:trPr>
          <w:trHeight w:val="251" w:hRule="atLeast"/>
        </w:trPr>
        <w:tc>
          <w:tcPr>
            <w:tcW w:w="2518" w:type="dxa"/>
          </w:tcPr>
          <w:p>
            <w:pPr>
              <w:pStyle w:val="TableParagraph"/>
              <w:spacing w:line="232" w:lineRule="exact"/>
              <w:ind w:left="9"/>
              <w:jc w:val="center"/>
              <w:rPr>
                <w:sz w:val="22"/>
              </w:rPr>
            </w:pPr>
            <w:r>
              <w:rPr>
                <w:w w:val="100"/>
                <w:sz w:val="22"/>
              </w:rPr>
              <w:t>5</w:t>
            </w:r>
          </w:p>
        </w:tc>
        <w:tc>
          <w:tcPr>
            <w:tcW w:w="3262" w:type="dxa"/>
          </w:tcPr>
          <w:p>
            <w:pPr>
              <w:pStyle w:val="TableParagraph"/>
              <w:spacing w:line="232" w:lineRule="exact"/>
              <w:ind w:left="107"/>
              <w:rPr>
                <w:sz w:val="22"/>
              </w:rPr>
            </w:pPr>
            <w:r>
              <w:rPr>
                <w:sz w:val="22"/>
              </w:rPr>
              <w:t>≥80%</w:t>
            </w:r>
          </w:p>
        </w:tc>
      </w:tr>
      <w:tr>
        <w:trPr>
          <w:trHeight w:val="254" w:hRule="atLeast"/>
        </w:trPr>
        <w:tc>
          <w:tcPr>
            <w:tcW w:w="2518" w:type="dxa"/>
          </w:tcPr>
          <w:p>
            <w:pPr>
              <w:pStyle w:val="TableParagraph"/>
              <w:spacing w:line="234" w:lineRule="exact"/>
              <w:ind w:left="9"/>
              <w:jc w:val="center"/>
              <w:rPr>
                <w:sz w:val="22"/>
              </w:rPr>
            </w:pPr>
            <w:r>
              <w:rPr>
                <w:w w:val="100"/>
                <w:sz w:val="22"/>
              </w:rPr>
              <w:t>4</w:t>
            </w:r>
          </w:p>
        </w:tc>
        <w:tc>
          <w:tcPr>
            <w:tcW w:w="3262" w:type="dxa"/>
          </w:tcPr>
          <w:p>
            <w:pPr>
              <w:pStyle w:val="TableParagraph"/>
              <w:spacing w:line="234" w:lineRule="exact"/>
              <w:ind w:left="107"/>
              <w:rPr>
                <w:sz w:val="22"/>
              </w:rPr>
            </w:pPr>
            <w:r>
              <w:rPr>
                <w:sz w:val="22"/>
              </w:rPr>
              <w:t>≥75%</w:t>
            </w:r>
          </w:p>
        </w:tc>
      </w:tr>
      <w:tr>
        <w:trPr>
          <w:trHeight w:val="254" w:hRule="atLeast"/>
        </w:trPr>
        <w:tc>
          <w:tcPr>
            <w:tcW w:w="2518" w:type="dxa"/>
          </w:tcPr>
          <w:p>
            <w:pPr>
              <w:pStyle w:val="TableParagraph"/>
              <w:spacing w:line="234" w:lineRule="exact"/>
              <w:ind w:left="9"/>
              <w:jc w:val="center"/>
              <w:rPr>
                <w:sz w:val="22"/>
              </w:rPr>
            </w:pPr>
            <w:r>
              <w:rPr>
                <w:w w:val="100"/>
                <w:sz w:val="22"/>
              </w:rPr>
              <w:t>3</w:t>
            </w:r>
          </w:p>
        </w:tc>
        <w:tc>
          <w:tcPr>
            <w:tcW w:w="3262" w:type="dxa"/>
          </w:tcPr>
          <w:p>
            <w:pPr>
              <w:pStyle w:val="TableParagraph"/>
              <w:spacing w:line="234" w:lineRule="exact"/>
              <w:ind w:left="107"/>
              <w:rPr>
                <w:sz w:val="22"/>
              </w:rPr>
            </w:pPr>
            <w:r>
              <w:rPr>
                <w:sz w:val="22"/>
              </w:rPr>
              <w:t>≥66%</w:t>
            </w:r>
          </w:p>
        </w:tc>
      </w:tr>
    </w:tbl>
    <w:p>
      <w:pPr>
        <w:pStyle w:val="BodyText"/>
        <w:spacing w:before="9"/>
        <w:rPr>
          <w:sz w:val="21"/>
        </w:rPr>
      </w:pPr>
    </w:p>
    <w:p>
      <w:pPr>
        <w:pStyle w:val="BodyText"/>
        <w:ind w:left="120" w:right="763"/>
      </w:pPr>
      <w:r>
        <w:rPr/>
        <w:t>Any dispute about voting may be escalated in accordance with the Dispute Resolution as described.</w:t>
      </w:r>
    </w:p>
    <w:p>
      <w:pPr>
        <w:pStyle w:val="BodyText"/>
        <w:spacing w:before="11"/>
        <w:rPr>
          <w:sz w:val="21"/>
        </w:rPr>
      </w:pPr>
    </w:p>
    <w:p>
      <w:pPr>
        <w:pStyle w:val="Heading2"/>
        <w:numPr>
          <w:ilvl w:val="0"/>
          <w:numId w:val="1"/>
        </w:numPr>
        <w:tabs>
          <w:tab w:pos="841" w:val="left" w:leader="none"/>
        </w:tabs>
        <w:spacing w:line="240" w:lineRule="auto" w:before="0" w:after="0"/>
        <w:ind w:left="840" w:right="0" w:hanging="721"/>
        <w:jc w:val="both"/>
      </w:pPr>
      <w:r>
        <w:rPr/>
        <w:t>Membership</w:t>
      </w:r>
    </w:p>
    <w:p>
      <w:pPr>
        <w:pStyle w:val="BodyText"/>
        <w:spacing w:before="1"/>
        <w:ind w:left="120" w:right="518" w:hanging="1"/>
        <w:jc w:val="both"/>
      </w:pPr>
      <w:bookmarkStart w:name="Membership of the PCB shall comprise the" w:id="8"/>
      <w:bookmarkEnd w:id="8"/>
      <w:r>
        <w:rPr/>
      </w:r>
      <w:r>
        <w:rPr/>
        <w:t>Membership of the PCB shall comprise the Chief Executive and Chair of each of the Trusts. Each member must designate a deputy. The deputy may be an Executive Director or Non- Executive Director of the member Trust Board with voting rights.</w:t>
      </w:r>
    </w:p>
    <w:p>
      <w:pPr>
        <w:pStyle w:val="BodyText"/>
        <w:spacing w:before="10" w:after="1"/>
        <w:rPr>
          <w:sz w:val="21"/>
        </w:rPr>
      </w:pPr>
    </w:p>
    <w:tbl>
      <w:tblPr>
        <w:tblW w:w="0" w:type="auto"/>
        <w:jc w:val="left"/>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6"/>
        <w:gridCol w:w="4678"/>
        <w:gridCol w:w="3828"/>
      </w:tblGrid>
      <w:tr>
        <w:trPr>
          <w:trHeight w:val="412" w:hRule="atLeast"/>
        </w:trPr>
        <w:tc>
          <w:tcPr>
            <w:tcW w:w="286" w:type="dxa"/>
          </w:tcPr>
          <w:p>
            <w:pPr>
              <w:pStyle w:val="TableParagraph"/>
              <w:ind w:left="0"/>
              <w:rPr>
                <w:rFonts w:ascii="Times New Roman"/>
                <w:sz w:val="22"/>
              </w:rPr>
            </w:pPr>
          </w:p>
        </w:tc>
        <w:tc>
          <w:tcPr>
            <w:tcW w:w="4678" w:type="dxa"/>
          </w:tcPr>
          <w:p>
            <w:pPr>
              <w:pStyle w:val="TableParagraph"/>
              <w:spacing w:before="81"/>
              <w:ind w:left="1632" w:right="1625"/>
              <w:jc w:val="center"/>
              <w:rPr>
                <w:sz w:val="22"/>
              </w:rPr>
            </w:pPr>
            <w:r>
              <w:rPr>
                <w:sz w:val="22"/>
              </w:rPr>
              <w:t>Member Trust</w:t>
            </w:r>
          </w:p>
        </w:tc>
        <w:tc>
          <w:tcPr>
            <w:tcW w:w="3828" w:type="dxa"/>
          </w:tcPr>
          <w:p>
            <w:pPr>
              <w:pStyle w:val="TableParagraph"/>
              <w:spacing w:before="81"/>
              <w:ind w:left="1488" w:right="1482"/>
              <w:jc w:val="center"/>
              <w:rPr>
                <w:sz w:val="22"/>
              </w:rPr>
            </w:pPr>
            <w:r>
              <w:rPr>
                <w:sz w:val="22"/>
              </w:rPr>
              <w:t>Member</w:t>
            </w:r>
          </w:p>
        </w:tc>
      </w:tr>
      <w:tr>
        <w:trPr>
          <w:trHeight w:val="666" w:hRule="atLeast"/>
        </w:trPr>
        <w:tc>
          <w:tcPr>
            <w:tcW w:w="286" w:type="dxa"/>
          </w:tcPr>
          <w:p>
            <w:pPr>
              <w:pStyle w:val="TableParagraph"/>
              <w:spacing w:before="81"/>
              <w:ind w:left="9"/>
              <w:jc w:val="center"/>
              <w:rPr>
                <w:sz w:val="22"/>
              </w:rPr>
            </w:pPr>
            <w:r>
              <w:rPr>
                <w:w w:val="100"/>
                <w:sz w:val="22"/>
              </w:rPr>
              <w:t>1</w:t>
            </w:r>
          </w:p>
        </w:tc>
        <w:tc>
          <w:tcPr>
            <w:tcW w:w="4678" w:type="dxa"/>
          </w:tcPr>
          <w:p>
            <w:pPr>
              <w:pStyle w:val="TableParagraph"/>
              <w:spacing w:before="81"/>
              <w:ind w:right="1036"/>
              <w:rPr>
                <w:sz w:val="22"/>
              </w:rPr>
            </w:pPr>
            <w:r>
              <w:rPr>
                <w:sz w:val="22"/>
              </w:rPr>
              <w:t>Lancashire Teaching Hospitals NHS Foundation Trust</w:t>
            </w:r>
          </w:p>
        </w:tc>
        <w:tc>
          <w:tcPr>
            <w:tcW w:w="3828" w:type="dxa"/>
          </w:tcPr>
          <w:p>
            <w:pPr>
              <w:pStyle w:val="TableParagraph"/>
              <w:spacing w:before="81"/>
              <w:rPr>
                <w:sz w:val="22"/>
              </w:rPr>
            </w:pPr>
            <w:r>
              <w:rPr>
                <w:sz w:val="22"/>
              </w:rPr>
              <w:t>Chief Executive &amp; Chair</w:t>
            </w:r>
          </w:p>
        </w:tc>
      </w:tr>
      <w:tr>
        <w:trPr>
          <w:trHeight w:val="666" w:hRule="atLeast"/>
        </w:trPr>
        <w:tc>
          <w:tcPr>
            <w:tcW w:w="286" w:type="dxa"/>
          </w:tcPr>
          <w:p>
            <w:pPr>
              <w:pStyle w:val="TableParagraph"/>
              <w:spacing w:before="81"/>
              <w:ind w:left="9"/>
              <w:jc w:val="center"/>
              <w:rPr>
                <w:sz w:val="22"/>
              </w:rPr>
            </w:pPr>
            <w:r>
              <w:rPr>
                <w:w w:val="100"/>
                <w:sz w:val="22"/>
              </w:rPr>
              <w:t>2</w:t>
            </w:r>
          </w:p>
        </w:tc>
        <w:tc>
          <w:tcPr>
            <w:tcW w:w="4678" w:type="dxa"/>
          </w:tcPr>
          <w:p>
            <w:pPr>
              <w:pStyle w:val="TableParagraph"/>
              <w:spacing w:before="81"/>
              <w:ind w:right="205"/>
              <w:rPr>
                <w:sz w:val="22"/>
              </w:rPr>
            </w:pPr>
            <w:r>
              <w:rPr>
                <w:sz w:val="22"/>
              </w:rPr>
              <w:t>University Hospitals of Morecambe Bay NHS Foundation Trust</w:t>
            </w:r>
          </w:p>
        </w:tc>
        <w:tc>
          <w:tcPr>
            <w:tcW w:w="3828" w:type="dxa"/>
          </w:tcPr>
          <w:p>
            <w:pPr>
              <w:pStyle w:val="TableParagraph"/>
              <w:spacing w:before="81"/>
              <w:rPr>
                <w:sz w:val="22"/>
              </w:rPr>
            </w:pPr>
            <w:r>
              <w:rPr>
                <w:sz w:val="22"/>
              </w:rPr>
              <w:t>Chief Executive &amp; Chair</w:t>
            </w:r>
          </w:p>
        </w:tc>
      </w:tr>
      <w:tr>
        <w:trPr>
          <w:trHeight w:val="412" w:hRule="atLeast"/>
        </w:trPr>
        <w:tc>
          <w:tcPr>
            <w:tcW w:w="286" w:type="dxa"/>
          </w:tcPr>
          <w:p>
            <w:pPr>
              <w:pStyle w:val="TableParagraph"/>
              <w:spacing w:before="79"/>
              <w:ind w:left="9"/>
              <w:jc w:val="center"/>
              <w:rPr>
                <w:sz w:val="22"/>
              </w:rPr>
            </w:pPr>
            <w:r>
              <w:rPr>
                <w:w w:val="100"/>
                <w:sz w:val="22"/>
              </w:rPr>
              <w:t>3</w:t>
            </w:r>
          </w:p>
        </w:tc>
        <w:tc>
          <w:tcPr>
            <w:tcW w:w="4678" w:type="dxa"/>
          </w:tcPr>
          <w:p>
            <w:pPr>
              <w:pStyle w:val="TableParagraph"/>
              <w:spacing w:before="79"/>
              <w:rPr>
                <w:sz w:val="22"/>
              </w:rPr>
            </w:pPr>
            <w:r>
              <w:rPr>
                <w:sz w:val="22"/>
              </w:rPr>
              <w:t>East Lancashire Hospitals Trust</w:t>
            </w:r>
          </w:p>
        </w:tc>
        <w:tc>
          <w:tcPr>
            <w:tcW w:w="3828" w:type="dxa"/>
          </w:tcPr>
          <w:p>
            <w:pPr>
              <w:pStyle w:val="TableParagraph"/>
              <w:spacing w:before="79"/>
              <w:rPr>
                <w:sz w:val="22"/>
              </w:rPr>
            </w:pPr>
            <w:r>
              <w:rPr>
                <w:sz w:val="22"/>
              </w:rPr>
              <w:t>Chief Executive &amp; Chair</w:t>
            </w:r>
          </w:p>
        </w:tc>
      </w:tr>
      <w:tr>
        <w:trPr>
          <w:trHeight w:val="666" w:hRule="atLeast"/>
        </w:trPr>
        <w:tc>
          <w:tcPr>
            <w:tcW w:w="286" w:type="dxa"/>
          </w:tcPr>
          <w:p>
            <w:pPr>
              <w:pStyle w:val="TableParagraph"/>
              <w:spacing w:before="81"/>
              <w:ind w:left="9"/>
              <w:jc w:val="center"/>
              <w:rPr>
                <w:sz w:val="22"/>
              </w:rPr>
            </w:pPr>
            <w:r>
              <w:rPr>
                <w:w w:val="100"/>
                <w:sz w:val="22"/>
              </w:rPr>
              <w:t>4</w:t>
            </w:r>
          </w:p>
        </w:tc>
        <w:tc>
          <w:tcPr>
            <w:tcW w:w="4678" w:type="dxa"/>
          </w:tcPr>
          <w:p>
            <w:pPr>
              <w:pStyle w:val="TableParagraph"/>
              <w:spacing w:before="81"/>
              <w:ind w:right="1158"/>
              <w:rPr>
                <w:sz w:val="22"/>
              </w:rPr>
            </w:pPr>
            <w:r>
              <w:rPr>
                <w:sz w:val="22"/>
              </w:rPr>
              <w:t>Blackpool Teaching Hospitals NHS Foundation Trust</w:t>
            </w:r>
          </w:p>
        </w:tc>
        <w:tc>
          <w:tcPr>
            <w:tcW w:w="3828" w:type="dxa"/>
          </w:tcPr>
          <w:p>
            <w:pPr>
              <w:pStyle w:val="TableParagraph"/>
              <w:spacing w:before="81"/>
              <w:rPr>
                <w:sz w:val="22"/>
              </w:rPr>
            </w:pPr>
            <w:r>
              <w:rPr>
                <w:sz w:val="22"/>
              </w:rPr>
              <w:t>Chief Executive &amp; Chair</w:t>
            </w:r>
          </w:p>
        </w:tc>
      </w:tr>
      <w:tr>
        <w:trPr>
          <w:trHeight w:val="664" w:hRule="atLeast"/>
        </w:trPr>
        <w:tc>
          <w:tcPr>
            <w:tcW w:w="286" w:type="dxa"/>
          </w:tcPr>
          <w:p>
            <w:pPr>
              <w:pStyle w:val="TableParagraph"/>
              <w:spacing w:before="79"/>
              <w:ind w:left="9"/>
              <w:jc w:val="center"/>
              <w:rPr>
                <w:sz w:val="22"/>
              </w:rPr>
            </w:pPr>
            <w:r>
              <w:rPr>
                <w:w w:val="100"/>
                <w:sz w:val="22"/>
              </w:rPr>
              <w:t>5</w:t>
            </w:r>
          </w:p>
        </w:tc>
        <w:tc>
          <w:tcPr>
            <w:tcW w:w="4678" w:type="dxa"/>
          </w:tcPr>
          <w:p>
            <w:pPr>
              <w:pStyle w:val="TableParagraph"/>
              <w:spacing w:before="79"/>
              <w:ind w:right="118"/>
              <w:rPr>
                <w:sz w:val="22"/>
              </w:rPr>
            </w:pPr>
            <w:r>
              <w:rPr>
                <w:sz w:val="22"/>
              </w:rPr>
              <w:t>Lancashire and South Cumbria Mental Health NHS Foundation Trust</w:t>
            </w:r>
          </w:p>
        </w:tc>
        <w:tc>
          <w:tcPr>
            <w:tcW w:w="3828" w:type="dxa"/>
          </w:tcPr>
          <w:p>
            <w:pPr>
              <w:pStyle w:val="TableParagraph"/>
              <w:spacing w:before="79"/>
              <w:rPr>
                <w:sz w:val="22"/>
              </w:rPr>
            </w:pPr>
            <w:r>
              <w:rPr>
                <w:sz w:val="22"/>
              </w:rPr>
              <w:t>Chief Executive &amp; Chair</w:t>
            </w:r>
          </w:p>
        </w:tc>
      </w:tr>
    </w:tbl>
    <w:p>
      <w:pPr>
        <w:pStyle w:val="BodyText"/>
        <w:spacing w:before="1"/>
      </w:pPr>
    </w:p>
    <w:p>
      <w:pPr>
        <w:pStyle w:val="BodyText"/>
        <w:ind w:left="120"/>
        <w:jc w:val="both"/>
      </w:pPr>
      <w:r>
        <w:rPr/>
        <w:t>There will be a total of 10 votes available.</w:t>
      </w:r>
    </w:p>
    <w:p>
      <w:pPr>
        <w:pStyle w:val="BodyText"/>
      </w:pPr>
    </w:p>
    <w:p>
      <w:pPr>
        <w:pStyle w:val="BodyText"/>
        <w:ind w:left="120" w:right="704" w:hanging="1"/>
      </w:pPr>
      <w:r>
        <w:rPr/>
        <w:t>A chartered governance professional will act as the PCB Company Secretary on behalf of the PCB in a support and secretariat role, and will attend its meetings but without voting rights.</w:t>
      </w:r>
    </w:p>
    <w:p>
      <w:pPr>
        <w:pStyle w:val="BodyText"/>
        <w:spacing w:before="10"/>
        <w:rPr>
          <w:sz w:val="21"/>
        </w:rPr>
      </w:pPr>
    </w:p>
    <w:p>
      <w:pPr>
        <w:pStyle w:val="Heading2"/>
        <w:numPr>
          <w:ilvl w:val="0"/>
          <w:numId w:val="1"/>
        </w:numPr>
        <w:tabs>
          <w:tab w:pos="841" w:val="left" w:leader="none"/>
          <w:tab w:pos="842" w:val="left" w:leader="none"/>
        </w:tabs>
        <w:spacing w:line="240" w:lineRule="auto" w:before="0" w:after="0"/>
        <w:ind w:left="841" w:right="0" w:hanging="721"/>
        <w:jc w:val="left"/>
      </w:pPr>
      <w:bookmarkStart w:name="The Chair of the PCB will be one of the " w:id="9"/>
      <w:bookmarkEnd w:id="9"/>
      <w:r>
        <w:rPr>
          <w:b w:val="0"/>
        </w:rPr>
      </w:r>
      <w:bookmarkStart w:name="The Chair of the PCB will be one of the " w:id="10"/>
      <w:bookmarkEnd w:id="10"/>
      <w:r>
        <w:rPr/>
        <w:t>C</w:t>
      </w:r>
      <w:r>
        <w:rPr/>
        <w:t>hair</w:t>
      </w:r>
    </w:p>
    <w:p>
      <w:pPr>
        <w:pStyle w:val="BodyText"/>
        <w:spacing w:before="2"/>
        <w:ind w:left="121" w:right="605" w:hanging="1"/>
      </w:pPr>
      <w:r>
        <w:rPr/>
        <w:t>The Chair of the PCB will be one of the Trusts’ Chairs whom the members appoint </w:t>
      </w:r>
      <w:r>
        <w:rPr>
          <w:spacing w:val="-3"/>
        </w:rPr>
        <w:t>by </w:t>
      </w:r>
      <w:r>
        <w:rPr/>
        <w:t>consensus. The Chair shall preside at meetings of the PCB. In the absence of the Chair </w:t>
      </w:r>
      <w:r>
        <w:rPr>
          <w:spacing w:val="-3"/>
        </w:rPr>
        <w:t>at </w:t>
      </w:r>
      <w:r>
        <w:rPr/>
        <w:t>a meeting or part of a meeting, and with the Chair’s prior agreement, the members may agree that one of them should deputise for the</w:t>
      </w:r>
      <w:r>
        <w:rPr>
          <w:spacing w:val="-6"/>
        </w:rPr>
        <w:t> </w:t>
      </w:r>
      <w:r>
        <w:rPr/>
        <w:t>Chair.</w:t>
      </w:r>
    </w:p>
    <w:p>
      <w:pPr>
        <w:pStyle w:val="BodyText"/>
        <w:spacing w:before="11"/>
        <w:rPr>
          <w:sz w:val="21"/>
        </w:rPr>
      </w:pPr>
    </w:p>
    <w:p>
      <w:pPr>
        <w:pStyle w:val="BodyText"/>
        <w:ind w:left="123" w:right="605" w:hanging="1"/>
      </w:pPr>
      <w:bookmarkStart w:name="The PCB Chair’s term of office shall be " w:id="11"/>
      <w:bookmarkEnd w:id="11"/>
      <w:r>
        <w:rPr/>
      </w:r>
      <w:r>
        <w:rPr/>
        <w:t>The PCB Chair’s term of office shall be two years from the date of appointment. The PCB Chair shall be eligible for reappointment on expiry of their term of office.</w:t>
      </w:r>
    </w:p>
    <w:p>
      <w:pPr>
        <w:spacing w:after="0"/>
        <w:sectPr>
          <w:pgSz w:w="11910" w:h="16840"/>
          <w:pgMar w:header="0" w:footer="1002" w:top="1580" w:bottom="1200" w:left="1320" w:right="1040"/>
        </w:sectPr>
      </w:pPr>
    </w:p>
    <w:p>
      <w:pPr>
        <w:pStyle w:val="Heading2"/>
        <w:numPr>
          <w:ilvl w:val="0"/>
          <w:numId w:val="1"/>
        </w:numPr>
        <w:tabs>
          <w:tab w:pos="839" w:val="left" w:leader="none"/>
          <w:tab w:pos="840" w:val="left" w:leader="none"/>
        </w:tabs>
        <w:spacing w:line="252" w:lineRule="exact" w:before="81" w:after="0"/>
        <w:ind w:left="839" w:right="0" w:hanging="720"/>
        <w:jc w:val="left"/>
      </w:pPr>
      <w:r>
        <w:rPr/>
        <w:t>Meetings</w:t>
      </w:r>
    </w:p>
    <w:p>
      <w:pPr>
        <w:pStyle w:val="BodyText"/>
        <w:ind w:left="120" w:right="420" w:hanging="1"/>
      </w:pPr>
      <w:r>
        <w:rPr/>
        <w:t>The PCB shall meet at such times and places as the Chair may direct on giving reasonable written notice to members. Meetings will be scheduled to ensure that they do not conflict with Trust Board meetings and are synchronised so that PCB members can properly engage their organisations ahead of PCB</w:t>
      </w:r>
      <w:r>
        <w:rPr>
          <w:spacing w:val="2"/>
        </w:rPr>
        <w:t> </w:t>
      </w:r>
      <w:r>
        <w:rPr/>
        <w:t>meetings.</w:t>
      </w:r>
    </w:p>
    <w:p>
      <w:pPr>
        <w:pStyle w:val="BodyText"/>
        <w:spacing w:before="11"/>
        <w:rPr>
          <w:sz w:val="21"/>
        </w:rPr>
      </w:pPr>
    </w:p>
    <w:p>
      <w:pPr>
        <w:pStyle w:val="BodyText"/>
        <w:ind w:left="122" w:hanging="1"/>
      </w:pPr>
      <w:r>
        <w:rPr/>
        <w:t>On occasion it may be necessary to arrange extraordinary meetings at short notice. In these circumstances the Chair will give as much notice as possible to members.</w:t>
      </w:r>
    </w:p>
    <w:p>
      <w:pPr>
        <w:pStyle w:val="BodyText"/>
        <w:spacing w:before="1"/>
      </w:pPr>
    </w:p>
    <w:p>
      <w:pPr>
        <w:pStyle w:val="BodyText"/>
        <w:spacing w:before="1"/>
        <w:ind w:left="123"/>
      </w:pPr>
      <w:r>
        <w:rPr/>
        <w:t>Meetings of the PCB shall not be open to the public.</w:t>
      </w:r>
    </w:p>
    <w:p>
      <w:pPr>
        <w:pStyle w:val="BodyText"/>
        <w:spacing w:before="9"/>
        <w:rPr>
          <w:sz w:val="21"/>
        </w:rPr>
      </w:pPr>
    </w:p>
    <w:p>
      <w:pPr>
        <w:pStyle w:val="BodyText"/>
        <w:ind w:left="123" w:right="480" w:hanging="1"/>
      </w:pPr>
      <w:r>
        <w:rPr/>
        <w:t>Papers for the meeting will be issued one week in advance of the date the meeting is due to take place.</w:t>
      </w:r>
    </w:p>
    <w:p>
      <w:pPr>
        <w:pStyle w:val="BodyText"/>
        <w:spacing w:before="2"/>
      </w:pPr>
    </w:p>
    <w:p>
      <w:pPr>
        <w:pStyle w:val="Heading2"/>
        <w:numPr>
          <w:ilvl w:val="0"/>
          <w:numId w:val="1"/>
        </w:numPr>
        <w:tabs>
          <w:tab w:pos="843" w:val="left" w:leader="none"/>
          <w:tab w:pos="844" w:val="left" w:leader="none"/>
        </w:tabs>
        <w:spacing w:line="252" w:lineRule="exact" w:before="0" w:after="0"/>
        <w:ind w:left="843" w:right="0" w:hanging="720"/>
        <w:jc w:val="left"/>
      </w:pPr>
      <w:r>
        <w:rPr/>
        <w:t>Costs and support</w:t>
      </w:r>
      <w:r>
        <w:rPr>
          <w:spacing w:val="-1"/>
        </w:rPr>
        <w:t> </w:t>
      </w:r>
      <w:r>
        <w:rPr/>
        <w:t>functions</w:t>
      </w:r>
    </w:p>
    <w:p>
      <w:pPr>
        <w:pStyle w:val="BodyText"/>
        <w:ind w:left="124" w:right="590" w:hanging="1"/>
      </w:pPr>
      <w:r>
        <w:rPr/>
        <w:t>Costs incurred by and provision of support functions to the PCB will be borne equally by all Trusts, unless there are material grounds (agreed in advance by all members) to allocate specific costs on a different basis. Examples of costs likely to be incurred include the PCB Director, secretariat and consultancy support where it is appropriate and agreed by members.</w:t>
      </w:r>
    </w:p>
    <w:p>
      <w:pPr>
        <w:pStyle w:val="BodyText"/>
        <w:spacing w:before="1"/>
      </w:pPr>
    </w:p>
    <w:p>
      <w:pPr>
        <w:pStyle w:val="Heading2"/>
        <w:numPr>
          <w:ilvl w:val="0"/>
          <w:numId w:val="1"/>
        </w:numPr>
        <w:tabs>
          <w:tab w:pos="839" w:val="left" w:leader="none"/>
          <w:tab w:pos="840" w:val="left" w:leader="none"/>
        </w:tabs>
        <w:spacing w:line="252" w:lineRule="exact" w:before="0" w:after="0"/>
        <w:ind w:left="839" w:right="0" w:hanging="720"/>
        <w:jc w:val="left"/>
      </w:pPr>
      <w:r>
        <w:rPr/>
        <w:t>Quorum</w:t>
      </w:r>
    </w:p>
    <w:p>
      <w:pPr>
        <w:pStyle w:val="BodyText"/>
        <w:spacing w:line="252" w:lineRule="exact"/>
        <w:ind w:left="119"/>
      </w:pPr>
      <w:r>
        <w:rPr/>
        <w:t>The quorum for a meeting of the PCB shall be:</w:t>
      </w:r>
    </w:p>
    <w:p>
      <w:pPr>
        <w:pStyle w:val="ListParagraph"/>
        <w:numPr>
          <w:ilvl w:val="0"/>
          <w:numId w:val="2"/>
        </w:numPr>
        <w:tabs>
          <w:tab w:pos="583" w:val="left" w:leader="none"/>
          <w:tab w:pos="584" w:val="left" w:leader="none"/>
        </w:tabs>
        <w:spacing w:line="237" w:lineRule="auto" w:before="2" w:after="0"/>
        <w:ind w:left="583" w:right="420" w:hanging="464"/>
        <w:jc w:val="left"/>
        <w:rPr>
          <w:sz w:val="22"/>
        </w:rPr>
      </w:pPr>
      <w:r>
        <w:rPr>
          <w:sz w:val="22"/>
        </w:rPr>
        <w:t>For a meeting at which a Category 1 decision will be made, all of the voting members </w:t>
      </w:r>
      <w:r>
        <w:rPr>
          <w:spacing w:val="-3"/>
          <w:sz w:val="22"/>
        </w:rPr>
        <w:t>of </w:t>
      </w:r>
      <w:r>
        <w:rPr>
          <w:sz w:val="22"/>
        </w:rPr>
        <w:t>the PCB (or their designated deputies) must be in attendance or able to participate virtually by using video, telephone, web link or other live and uninterrupted conferencing facilities.</w:t>
      </w:r>
    </w:p>
    <w:p>
      <w:pPr>
        <w:pStyle w:val="ListParagraph"/>
        <w:numPr>
          <w:ilvl w:val="0"/>
          <w:numId w:val="2"/>
        </w:numPr>
        <w:tabs>
          <w:tab w:pos="583" w:val="left" w:leader="none"/>
          <w:tab w:pos="584" w:val="left" w:leader="none"/>
        </w:tabs>
        <w:spacing w:line="237" w:lineRule="auto" w:before="8" w:after="0"/>
        <w:ind w:left="583" w:right="482" w:hanging="464"/>
        <w:jc w:val="left"/>
        <w:rPr>
          <w:sz w:val="22"/>
        </w:rPr>
      </w:pPr>
      <w:r>
        <w:rPr>
          <w:sz w:val="22"/>
        </w:rPr>
        <w:t>For a meeting at which no decisions on Category 1 issues will be made, </w:t>
      </w:r>
      <w:r>
        <w:rPr>
          <w:b/>
          <w:sz w:val="22"/>
        </w:rPr>
        <w:t>80% </w:t>
      </w:r>
      <w:r>
        <w:rPr>
          <w:sz w:val="22"/>
        </w:rPr>
        <w:t>(in terms of whole numbers) of the voting members of the </w:t>
      </w:r>
      <w:r>
        <w:rPr>
          <w:spacing w:val="-2"/>
          <w:sz w:val="22"/>
        </w:rPr>
        <w:t>PCB </w:t>
      </w:r>
      <w:r>
        <w:rPr>
          <w:sz w:val="22"/>
        </w:rPr>
        <w:t>(or their designated deputies) are required to be in attendance or able to participate virtually by using video, telephone, web link or other live and uninterrupted conferencing</w:t>
      </w:r>
      <w:r>
        <w:rPr>
          <w:spacing w:val="-3"/>
          <w:sz w:val="22"/>
        </w:rPr>
        <w:t> </w:t>
      </w:r>
      <w:r>
        <w:rPr>
          <w:sz w:val="22"/>
        </w:rPr>
        <w:t>facilities.</w:t>
      </w:r>
    </w:p>
    <w:p>
      <w:pPr>
        <w:pStyle w:val="BodyText"/>
        <w:spacing w:before="3"/>
      </w:pPr>
    </w:p>
    <w:p>
      <w:pPr>
        <w:pStyle w:val="Heading2"/>
        <w:numPr>
          <w:ilvl w:val="0"/>
          <w:numId w:val="1"/>
        </w:numPr>
        <w:tabs>
          <w:tab w:pos="842" w:val="left" w:leader="none"/>
          <w:tab w:pos="843" w:val="left" w:leader="none"/>
        </w:tabs>
        <w:spacing w:line="252" w:lineRule="exact" w:before="0" w:after="0"/>
        <w:ind w:left="842" w:right="0" w:hanging="720"/>
        <w:jc w:val="left"/>
      </w:pPr>
      <w:r>
        <w:rPr/>
        <w:t>Attendees</w:t>
      </w:r>
    </w:p>
    <w:p>
      <w:pPr>
        <w:pStyle w:val="BodyText"/>
        <w:ind w:left="123" w:right="1128" w:hanging="1"/>
      </w:pPr>
      <w:r>
        <w:rPr/>
        <w:t>The PCB can request additional attendees at meetings to provide specialist advice or information and can call for the attendance of others, such as clinicians.</w:t>
      </w:r>
    </w:p>
    <w:p>
      <w:pPr>
        <w:pStyle w:val="BodyText"/>
        <w:spacing w:before="10"/>
        <w:rPr>
          <w:sz w:val="21"/>
        </w:rPr>
      </w:pPr>
    </w:p>
    <w:p>
      <w:pPr>
        <w:pStyle w:val="BodyText"/>
        <w:spacing w:before="1"/>
        <w:ind w:left="124" w:right="1226" w:hanging="1"/>
      </w:pPr>
      <w:r>
        <w:rPr/>
        <w:t>The Chair can permit other persons to attend PCB meetings, including individuals or representatives of organisations who request to attend.</w:t>
      </w:r>
    </w:p>
    <w:p>
      <w:pPr>
        <w:pStyle w:val="BodyText"/>
        <w:spacing w:before="1"/>
      </w:pPr>
    </w:p>
    <w:p>
      <w:pPr>
        <w:pStyle w:val="BodyText"/>
        <w:ind w:left="125" w:right="894" w:hanging="1"/>
      </w:pPr>
      <w:r>
        <w:rPr/>
        <w:t>Any additional attendees shall not count towards the quorum or have the right to vote at meetings.</w:t>
      </w:r>
    </w:p>
    <w:p>
      <w:pPr>
        <w:pStyle w:val="BodyText"/>
      </w:pPr>
    </w:p>
    <w:p>
      <w:pPr>
        <w:pStyle w:val="Heading2"/>
        <w:numPr>
          <w:ilvl w:val="0"/>
          <w:numId w:val="1"/>
        </w:numPr>
        <w:tabs>
          <w:tab w:pos="839" w:val="left" w:leader="none"/>
          <w:tab w:pos="840" w:val="left" w:leader="none"/>
        </w:tabs>
        <w:spacing w:line="252" w:lineRule="exact" w:before="0" w:after="0"/>
        <w:ind w:left="839" w:right="0" w:hanging="720"/>
        <w:jc w:val="left"/>
      </w:pPr>
      <w:r>
        <w:rPr/>
        <w:t>Subcommittees</w:t>
      </w:r>
    </w:p>
    <w:p>
      <w:pPr>
        <w:pStyle w:val="BodyText"/>
        <w:ind w:left="120" w:right="422" w:hanging="1"/>
      </w:pPr>
      <w:r>
        <w:rPr/>
        <w:t>The PCB may appoint one or more subcommittees and sub-delegate to them the exercise of any of the PCB’s delegated functions. Eligibility for membership of a subcommittee shall be restricted to individuals who are eligible to be members of the PCB or their deputies.</w:t>
      </w:r>
    </w:p>
    <w:p>
      <w:pPr>
        <w:pStyle w:val="BodyText"/>
      </w:pPr>
    </w:p>
    <w:p>
      <w:pPr>
        <w:pStyle w:val="Heading2"/>
        <w:numPr>
          <w:ilvl w:val="0"/>
          <w:numId w:val="1"/>
        </w:numPr>
        <w:tabs>
          <w:tab w:pos="841" w:val="left" w:leader="none"/>
          <w:tab w:pos="842" w:val="left" w:leader="none"/>
        </w:tabs>
        <w:spacing w:line="252" w:lineRule="exact" w:before="1" w:after="0"/>
        <w:ind w:left="841" w:right="0" w:hanging="721"/>
        <w:jc w:val="left"/>
      </w:pPr>
      <w:r>
        <w:rPr/>
        <w:t>Conflict of</w:t>
      </w:r>
      <w:r>
        <w:rPr>
          <w:spacing w:val="-1"/>
        </w:rPr>
        <w:t> </w:t>
      </w:r>
      <w:r>
        <w:rPr/>
        <w:t>interest</w:t>
      </w:r>
    </w:p>
    <w:p>
      <w:pPr>
        <w:pStyle w:val="BodyText"/>
        <w:ind w:left="122" w:right="191" w:hanging="1"/>
      </w:pPr>
      <w:r>
        <w:rPr/>
        <w:t>Members of the Board, including the Chair, should declare any conflicts of interest at the start of each meeting.</w:t>
      </w:r>
    </w:p>
    <w:p>
      <w:pPr>
        <w:pStyle w:val="BodyText"/>
        <w:spacing w:before="10"/>
        <w:rPr>
          <w:sz w:val="21"/>
        </w:rPr>
      </w:pPr>
    </w:p>
    <w:p>
      <w:pPr>
        <w:pStyle w:val="BodyText"/>
        <w:ind w:left="122" w:hanging="1"/>
      </w:pPr>
      <w:r>
        <w:rPr/>
        <w:t>Should</w:t>
      </w:r>
      <w:r>
        <w:rPr>
          <w:spacing w:val="-5"/>
        </w:rPr>
        <w:t> </w:t>
      </w:r>
      <w:r>
        <w:rPr/>
        <w:t>any</w:t>
      </w:r>
      <w:r>
        <w:rPr>
          <w:spacing w:val="-7"/>
        </w:rPr>
        <w:t> </w:t>
      </w:r>
      <w:r>
        <w:rPr/>
        <w:t>member</w:t>
      </w:r>
      <w:r>
        <w:rPr>
          <w:spacing w:val="-4"/>
        </w:rPr>
        <w:t> </w:t>
      </w:r>
      <w:r>
        <w:rPr/>
        <w:t>have</w:t>
      </w:r>
      <w:r>
        <w:rPr>
          <w:spacing w:val="-5"/>
        </w:rPr>
        <w:t> </w:t>
      </w:r>
      <w:r>
        <w:rPr/>
        <w:t>concerns</w:t>
      </w:r>
      <w:r>
        <w:rPr>
          <w:spacing w:val="-6"/>
        </w:rPr>
        <w:t> </w:t>
      </w:r>
      <w:r>
        <w:rPr/>
        <w:t>regarding</w:t>
      </w:r>
      <w:r>
        <w:rPr>
          <w:spacing w:val="-7"/>
        </w:rPr>
        <w:t> </w:t>
      </w:r>
      <w:r>
        <w:rPr/>
        <w:t>an</w:t>
      </w:r>
      <w:r>
        <w:rPr>
          <w:spacing w:val="-7"/>
        </w:rPr>
        <w:t> </w:t>
      </w:r>
      <w:r>
        <w:rPr/>
        <w:t>actual</w:t>
      </w:r>
      <w:r>
        <w:rPr>
          <w:spacing w:val="-4"/>
        </w:rPr>
        <w:t> </w:t>
      </w:r>
      <w:r>
        <w:rPr/>
        <w:t>or</w:t>
      </w:r>
      <w:r>
        <w:rPr>
          <w:spacing w:val="-6"/>
        </w:rPr>
        <w:t> </w:t>
      </w:r>
      <w:r>
        <w:rPr/>
        <w:t>perceived</w:t>
      </w:r>
      <w:r>
        <w:rPr>
          <w:spacing w:val="-5"/>
        </w:rPr>
        <w:t> </w:t>
      </w:r>
      <w:r>
        <w:rPr/>
        <w:t>conflict</w:t>
      </w:r>
      <w:r>
        <w:rPr>
          <w:spacing w:val="-3"/>
        </w:rPr>
        <w:t> </w:t>
      </w:r>
      <w:r>
        <w:rPr/>
        <w:t>of</w:t>
      </w:r>
      <w:r>
        <w:rPr>
          <w:spacing w:val="-3"/>
        </w:rPr>
        <w:t> </w:t>
      </w:r>
      <w:r>
        <w:rPr/>
        <w:t>interest</w:t>
      </w:r>
      <w:r>
        <w:rPr>
          <w:spacing w:val="-3"/>
        </w:rPr>
        <w:t> </w:t>
      </w:r>
      <w:r>
        <w:rPr/>
        <w:t>of</w:t>
      </w:r>
      <w:r>
        <w:rPr>
          <w:spacing w:val="-5"/>
        </w:rPr>
        <w:t> </w:t>
      </w:r>
      <w:r>
        <w:rPr/>
        <w:t>the Chair, they should report these to the PCB Company Secretary in the first</w:t>
      </w:r>
      <w:r>
        <w:rPr>
          <w:spacing w:val="-21"/>
        </w:rPr>
        <w:t> </w:t>
      </w:r>
      <w:r>
        <w:rPr/>
        <w:t>instance.</w:t>
      </w:r>
    </w:p>
    <w:p>
      <w:pPr>
        <w:pStyle w:val="BodyText"/>
        <w:spacing w:before="1"/>
      </w:pPr>
    </w:p>
    <w:p>
      <w:pPr>
        <w:pStyle w:val="BodyText"/>
        <w:spacing w:before="1"/>
        <w:ind w:left="123"/>
      </w:pPr>
      <w:r>
        <w:rPr/>
        <w:t>A formal Declaration of Interest Register will be completed at the first PCB</w:t>
      </w:r>
      <w:r>
        <w:rPr>
          <w:spacing w:val="-38"/>
        </w:rPr>
        <w:t> </w:t>
      </w:r>
      <w:r>
        <w:rPr/>
        <w:t>meeting.</w:t>
      </w:r>
    </w:p>
    <w:p>
      <w:pPr>
        <w:spacing w:after="0"/>
        <w:sectPr>
          <w:pgSz w:w="11910" w:h="16840"/>
          <w:pgMar w:header="0" w:footer="1002" w:top="1340" w:bottom="1200" w:left="1320" w:right="1040"/>
        </w:sectPr>
      </w:pPr>
    </w:p>
    <w:p>
      <w:pPr>
        <w:pStyle w:val="Heading2"/>
        <w:numPr>
          <w:ilvl w:val="0"/>
          <w:numId w:val="1"/>
        </w:numPr>
        <w:tabs>
          <w:tab w:pos="839" w:val="left" w:leader="none"/>
          <w:tab w:pos="840" w:val="left" w:leader="none"/>
        </w:tabs>
        <w:spacing w:line="240" w:lineRule="auto" w:before="93" w:after="0"/>
        <w:ind w:left="839" w:right="0" w:hanging="720"/>
        <w:jc w:val="left"/>
      </w:pPr>
      <w:r>
        <w:rPr/>
        <w:t>Dispute Resolution</w:t>
      </w:r>
    </w:p>
    <w:p>
      <w:pPr>
        <w:pStyle w:val="BodyText"/>
        <w:spacing w:before="2"/>
        <w:ind w:left="119"/>
      </w:pPr>
      <w:r>
        <w:rPr/>
        <w:t>The agreed L&amp;SC dispute resolution process shall apply and is attached at appendix B.</w:t>
      </w:r>
    </w:p>
    <w:p>
      <w:pPr>
        <w:pStyle w:val="BodyText"/>
      </w:pPr>
    </w:p>
    <w:p>
      <w:pPr>
        <w:pStyle w:val="Heading2"/>
        <w:numPr>
          <w:ilvl w:val="0"/>
          <w:numId w:val="1"/>
        </w:numPr>
        <w:tabs>
          <w:tab w:pos="840" w:val="left" w:leader="none"/>
          <w:tab w:pos="841" w:val="left" w:leader="none"/>
        </w:tabs>
        <w:spacing w:line="252" w:lineRule="exact" w:before="0" w:after="0"/>
        <w:ind w:left="840" w:right="0" w:hanging="721"/>
        <w:jc w:val="left"/>
      </w:pPr>
      <w:r>
        <w:rPr/>
        <w:t>Collective Responsibility</w:t>
      </w:r>
    </w:p>
    <w:p>
      <w:pPr>
        <w:pStyle w:val="BodyText"/>
        <w:ind w:left="121" w:right="642" w:hanging="1"/>
      </w:pPr>
      <w:r>
        <w:rPr/>
        <w:t>Once decisions are made, all members will have a responsibility to ensure achievement of the PCB’s objectives and delivery of the work programme. Externally, members will be expected to represent the PCB’s views and act as ambassadors.</w:t>
      </w:r>
    </w:p>
    <w:p>
      <w:pPr>
        <w:pStyle w:val="BodyText"/>
      </w:pPr>
    </w:p>
    <w:p>
      <w:pPr>
        <w:pStyle w:val="Heading2"/>
        <w:numPr>
          <w:ilvl w:val="0"/>
          <w:numId w:val="1"/>
        </w:numPr>
        <w:tabs>
          <w:tab w:pos="842" w:val="left" w:leader="none"/>
          <w:tab w:pos="843" w:val="left" w:leader="none"/>
        </w:tabs>
        <w:spacing w:line="252" w:lineRule="exact" w:before="0" w:after="0"/>
        <w:ind w:left="842" w:right="0" w:hanging="721"/>
        <w:jc w:val="left"/>
      </w:pPr>
      <w:r>
        <w:rPr/>
        <w:t>Communications</w:t>
      </w:r>
    </w:p>
    <w:p>
      <w:pPr>
        <w:pStyle w:val="BodyText"/>
        <w:ind w:left="122" w:right="605" w:hanging="1"/>
      </w:pPr>
      <w:r>
        <w:rPr/>
        <w:t>Following each PCB a summary of actions and decisions will be sent to PCB members. A briefing on key discussions and decisions will be provided through the LSC governance.</w:t>
      </w:r>
    </w:p>
    <w:p>
      <w:pPr>
        <w:pStyle w:val="BodyText"/>
        <w:spacing w:before="10"/>
        <w:rPr>
          <w:sz w:val="21"/>
        </w:rPr>
      </w:pPr>
    </w:p>
    <w:p>
      <w:pPr>
        <w:pStyle w:val="Heading2"/>
        <w:numPr>
          <w:ilvl w:val="0"/>
          <w:numId w:val="1"/>
        </w:numPr>
        <w:tabs>
          <w:tab w:pos="842" w:val="left" w:leader="none"/>
          <w:tab w:pos="843" w:val="left" w:leader="none"/>
        </w:tabs>
        <w:spacing w:line="240" w:lineRule="auto" w:before="0" w:after="0"/>
        <w:ind w:left="842" w:right="0" w:hanging="721"/>
        <w:jc w:val="left"/>
      </w:pPr>
      <w:r>
        <w:rPr/>
        <w:t>Review of the performance of the</w:t>
      </w:r>
      <w:r>
        <w:rPr>
          <w:spacing w:val="-7"/>
        </w:rPr>
        <w:t> </w:t>
      </w:r>
      <w:r>
        <w:rPr/>
        <w:t>PCB</w:t>
      </w:r>
    </w:p>
    <w:p>
      <w:pPr>
        <w:pStyle w:val="BodyText"/>
        <w:spacing w:before="2"/>
        <w:ind w:left="123" w:right="444" w:hanging="1"/>
      </w:pPr>
      <w:r>
        <w:rPr/>
        <w:t>The PCB shall review its own performance annually (led by the Chair) and implement and/or recommend any necessary changes. These changes will be reported to members’ Boards.</w:t>
      </w:r>
    </w:p>
    <w:p>
      <w:pPr>
        <w:pStyle w:val="BodyText"/>
        <w:spacing w:before="10"/>
        <w:rPr>
          <w:sz w:val="21"/>
        </w:rPr>
      </w:pPr>
    </w:p>
    <w:p>
      <w:pPr>
        <w:pStyle w:val="Heading2"/>
        <w:numPr>
          <w:ilvl w:val="0"/>
          <w:numId w:val="1"/>
        </w:numPr>
        <w:tabs>
          <w:tab w:pos="844" w:val="left" w:leader="none"/>
          <w:tab w:pos="845" w:val="left" w:leader="none"/>
        </w:tabs>
        <w:spacing w:line="252" w:lineRule="exact" w:before="1" w:after="0"/>
        <w:ind w:left="844" w:right="0" w:hanging="721"/>
        <w:jc w:val="left"/>
      </w:pPr>
      <w:r>
        <w:rPr/>
        <w:t>Review of the Terms of</w:t>
      </w:r>
      <w:r>
        <w:rPr>
          <w:spacing w:val="-9"/>
        </w:rPr>
        <w:t> </w:t>
      </w:r>
      <w:r>
        <w:rPr/>
        <w:t>Reference</w:t>
      </w:r>
    </w:p>
    <w:p>
      <w:pPr>
        <w:pStyle w:val="BodyText"/>
        <w:ind w:left="125" w:right="406" w:hanging="1"/>
      </w:pPr>
      <w:r>
        <w:rPr/>
        <w:t>The Terms of Reference will be reviewed annually in conjunction with the wider review of the PCB.</w:t>
      </w:r>
    </w:p>
    <w:p>
      <w:pPr>
        <w:pStyle w:val="BodyText"/>
        <w:spacing w:before="3"/>
      </w:pPr>
    </w:p>
    <w:p>
      <w:pPr>
        <w:pStyle w:val="BodyText"/>
        <w:ind w:left="125"/>
      </w:pPr>
      <w:bookmarkStart w:name="The PCB has no other powers than those i" w:id="12"/>
      <w:bookmarkEnd w:id="12"/>
      <w:r>
        <w:rPr/>
      </w:r>
      <w:r>
        <w:rPr/>
        <w:t>The PCB has no other powers than those in the Terms of Reference.</w:t>
      </w:r>
    </w:p>
    <w:p>
      <w:pPr>
        <w:spacing w:after="0"/>
        <w:sectPr>
          <w:pgSz w:w="11910" w:h="16840"/>
          <w:pgMar w:header="0" w:footer="1002" w:top="1580" w:bottom="1200" w:left="1320" w:right="1040"/>
        </w:sectPr>
      </w:pPr>
    </w:p>
    <w:p>
      <w:pPr>
        <w:pStyle w:val="Heading2"/>
        <w:spacing w:before="64"/>
        <w:ind w:left="120" w:firstLine="0"/>
        <w:jc w:val="both"/>
      </w:pPr>
      <w:r>
        <w:rPr/>
        <w:t>Appendix A - Workplan</w:t>
      </w:r>
    </w:p>
    <w:p>
      <w:pPr>
        <w:pStyle w:val="BodyText"/>
        <w:spacing w:before="6"/>
        <w:rPr>
          <w:b/>
          <w:sz w:val="20"/>
        </w:rPr>
      </w:pPr>
    </w:p>
    <w:p>
      <w:pPr>
        <w:pStyle w:val="BodyText"/>
        <w:ind w:left="120" w:right="397"/>
        <w:jc w:val="both"/>
      </w:pPr>
      <w:r>
        <w:rPr/>
        <w:t>The PCB’s agreed current workplan comprises Category 1 and Category 2 business set out below. In accordance with section 5 of the core terms of reference, the PCB shall review its workplan as often as it consider necessary and at least annually with a view to agreeing updates to this Appendix A in accordance with section 7 of the core terms of reference and always subject to being within the PCB’s delegated authority.</w:t>
      </w:r>
    </w:p>
    <w:p>
      <w:pPr>
        <w:pStyle w:val="BodyText"/>
        <w:spacing w:before="10"/>
        <w:rPr>
          <w:sz w:val="20"/>
        </w:rPr>
      </w:pPr>
    </w:p>
    <w:p>
      <w:pPr>
        <w:spacing w:before="0"/>
        <w:ind w:left="120" w:right="0" w:firstLine="0"/>
        <w:jc w:val="both"/>
        <w:rPr>
          <w:b/>
          <w:sz w:val="22"/>
        </w:rPr>
      </w:pPr>
      <w:r>
        <w:rPr>
          <w:b/>
          <w:sz w:val="22"/>
          <w:u w:val="thick"/>
        </w:rPr>
        <w:t>Category 1 business</w:t>
      </w:r>
    </w:p>
    <w:p>
      <w:pPr>
        <w:pStyle w:val="BodyText"/>
        <w:rPr>
          <w:b/>
          <w:sz w:val="21"/>
        </w:rPr>
      </w:pPr>
    </w:p>
    <w:p>
      <w:pPr>
        <w:pStyle w:val="ListParagraph"/>
        <w:numPr>
          <w:ilvl w:val="0"/>
          <w:numId w:val="3"/>
        </w:numPr>
        <w:tabs>
          <w:tab w:pos="480" w:val="left" w:leader="none"/>
          <w:tab w:pos="481" w:val="left" w:leader="none"/>
        </w:tabs>
        <w:spacing w:line="240" w:lineRule="auto" w:before="0" w:after="0"/>
        <w:ind w:left="480" w:right="562" w:hanging="361"/>
        <w:jc w:val="left"/>
        <w:rPr>
          <w:rFonts w:ascii="Symbol" w:hAnsi="Symbol"/>
          <w:sz w:val="22"/>
        </w:rPr>
      </w:pPr>
      <w:r>
        <w:rPr>
          <w:sz w:val="22"/>
        </w:rPr>
        <w:t>Issues given to the PCB to progress by commissioners or pre-agreed as part of the ICS priorities which will form part of the workplan that will be agreed with commissioners through the</w:t>
      </w:r>
      <w:r>
        <w:rPr>
          <w:spacing w:val="-4"/>
          <w:sz w:val="22"/>
        </w:rPr>
        <w:t> </w:t>
      </w:r>
      <w:r>
        <w:rPr>
          <w:sz w:val="22"/>
        </w:rPr>
        <w:t>ICS</w:t>
      </w:r>
    </w:p>
    <w:p>
      <w:pPr>
        <w:pStyle w:val="BodyText"/>
        <w:spacing w:before="9"/>
        <w:rPr>
          <w:sz w:val="20"/>
        </w:rPr>
      </w:pPr>
    </w:p>
    <w:p>
      <w:pPr>
        <w:pStyle w:val="ListParagraph"/>
        <w:numPr>
          <w:ilvl w:val="0"/>
          <w:numId w:val="3"/>
        </w:numPr>
        <w:tabs>
          <w:tab w:pos="480" w:val="left" w:leader="none"/>
          <w:tab w:pos="481" w:val="left" w:leader="none"/>
        </w:tabs>
        <w:spacing w:line="240" w:lineRule="auto" w:before="0" w:after="0"/>
        <w:ind w:left="480" w:right="0" w:hanging="362"/>
        <w:jc w:val="left"/>
        <w:rPr>
          <w:rFonts w:ascii="Symbol" w:hAnsi="Symbol"/>
          <w:sz w:val="22"/>
        </w:rPr>
      </w:pPr>
      <w:r>
        <w:rPr>
          <w:sz w:val="22"/>
        </w:rPr>
        <w:t>Shared clinical services for community</w:t>
      </w:r>
      <w:r>
        <w:rPr>
          <w:spacing w:val="-4"/>
          <w:sz w:val="22"/>
        </w:rPr>
        <w:t> </w:t>
      </w:r>
      <w:r>
        <w:rPr>
          <w:sz w:val="22"/>
        </w:rPr>
        <w:t>services</w:t>
      </w:r>
    </w:p>
    <w:p>
      <w:pPr>
        <w:pStyle w:val="BodyText"/>
        <w:spacing w:before="5"/>
        <w:rPr>
          <w:sz w:val="20"/>
        </w:rPr>
      </w:pPr>
    </w:p>
    <w:p>
      <w:pPr>
        <w:pStyle w:val="ListParagraph"/>
        <w:numPr>
          <w:ilvl w:val="0"/>
          <w:numId w:val="3"/>
        </w:numPr>
        <w:tabs>
          <w:tab w:pos="480" w:val="left" w:leader="none"/>
          <w:tab w:pos="481" w:val="left" w:leader="none"/>
        </w:tabs>
        <w:spacing w:line="242" w:lineRule="auto" w:before="0" w:after="0"/>
        <w:ind w:left="480" w:right="835" w:hanging="361"/>
        <w:jc w:val="left"/>
        <w:rPr>
          <w:rFonts w:ascii="Symbol" w:hAnsi="Symbol"/>
          <w:sz w:val="22"/>
        </w:rPr>
      </w:pPr>
      <w:r>
        <w:rPr>
          <w:sz w:val="22"/>
        </w:rPr>
        <w:t>Shared corporate services for: bank and agency workers; procurement; and financial transactions including a single financial ledger and</w:t>
      </w:r>
      <w:r>
        <w:rPr>
          <w:spacing w:val="-4"/>
          <w:sz w:val="22"/>
        </w:rPr>
        <w:t> </w:t>
      </w:r>
      <w:r>
        <w:rPr>
          <w:sz w:val="22"/>
        </w:rPr>
        <w:t>payroll</w:t>
      </w:r>
    </w:p>
    <w:p>
      <w:pPr>
        <w:pStyle w:val="BodyText"/>
        <w:spacing w:before="3"/>
        <w:rPr>
          <w:sz w:val="20"/>
        </w:rPr>
      </w:pPr>
    </w:p>
    <w:p>
      <w:pPr>
        <w:spacing w:before="1"/>
        <w:ind w:left="120" w:right="0" w:firstLine="0"/>
        <w:jc w:val="both"/>
        <w:rPr>
          <w:b/>
          <w:sz w:val="22"/>
        </w:rPr>
      </w:pPr>
      <w:r>
        <w:rPr>
          <w:b/>
          <w:sz w:val="22"/>
          <w:u w:val="thick"/>
        </w:rPr>
        <w:t>Category 2 business</w:t>
      </w:r>
    </w:p>
    <w:p>
      <w:pPr>
        <w:pStyle w:val="BodyText"/>
        <w:spacing w:before="2"/>
        <w:rPr>
          <w:b/>
          <w:sz w:val="16"/>
        </w:rPr>
      </w:pPr>
    </w:p>
    <w:p>
      <w:pPr>
        <w:spacing w:before="93"/>
        <w:ind w:left="120" w:right="0" w:firstLine="0"/>
        <w:jc w:val="left"/>
        <w:rPr>
          <w:b/>
          <w:sz w:val="22"/>
        </w:rPr>
      </w:pPr>
      <w:r>
        <w:rPr>
          <w:b/>
          <w:sz w:val="22"/>
          <w:u w:val="thick"/>
        </w:rPr>
        <w:t>Shared strategic priorities for pathology services</w:t>
      </w:r>
    </w:p>
    <w:p>
      <w:pPr>
        <w:pStyle w:val="BodyText"/>
        <w:spacing w:before="4"/>
        <w:rPr>
          <w:b/>
          <w:sz w:val="14"/>
        </w:rPr>
      </w:pPr>
    </w:p>
    <w:p>
      <w:pPr>
        <w:spacing w:line="256" w:lineRule="auto" w:before="72"/>
        <w:ind w:left="119" w:right="904" w:firstLine="0"/>
        <w:jc w:val="left"/>
        <w:rPr>
          <w:rFonts w:ascii="Calibri"/>
          <w:sz w:val="24"/>
        </w:rPr>
      </w:pPr>
      <w:r>
        <w:rPr>
          <w:sz w:val="22"/>
        </w:rPr>
        <w:t>BTHT, ELHT, LTHT and UHMBT are t</w:t>
      </w:r>
      <w:r>
        <w:rPr>
          <w:rFonts w:ascii="Calibri"/>
          <w:sz w:val="24"/>
        </w:rPr>
        <w:t>he eligible constituency for strategic priorities for pathology services which comprise:</w:t>
      </w:r>
    </w:p>
    <w:p>
      <w:pPr>
        <w:pStyle w:val="Heading1"/>
        <w:numPr>
          <w:ilvl w:val="0"/>
          <w:numId w:val="3"/>
        </w:numPr>
        <w:tabs>
          <w:tab w:pos="477" w:val="left" w:leader="none"/>
          <w:tab w:pos="478" w:val="left" w:leader="none"/>
        </w:tabs>
        <w:spacing w:line="259" w:lineRule="auto" w:before="166" w:after="0"/>
        <w:ind w:left="477" w:right="1072" w:hanging="358"/>
        <w:jc w:val="left"/>
        <w:rPr>
          <w:rFonts w:ascii="Symbol" w:hAnsi="Symbol"/>
        </w:rPr>
      </w:pPr>
      <w:r>
        <w:rPr/>
        <w:t>Oversight and Leadership of the Implementation of Digital Solutions for Pathology including laboratory information management systems (LIMS), digital pathology, informatics and management</w:t>
      </w:r>
      <w:r>
        <w:rPr>
          <w:spacing w:val="-3"/>
        </w:rPr>
        <w:t> </w:t>
      </w:r>
      <w:r>
        <w:rPr/>
        <w:t>reporting.</w:t>
      </w:r>
    </w:p>
    <w:p>
      <w:pPr>
        <w:pStyle w:val="ListParagraph"/>
        <w:numPr>
          <w:ilvl w:val="0"/>
          <w:numId w:val="3"/>
        </w:numPr>
        <w:tabs>
          <w:tab w:pos="477" w:val="left" w:leader="none"/>
          <w:tab w:pos="478" w:val="left" w:leader="none"/>
        </w:tabs>
        <w:spacing w:line="256" w:lineRule="auto" w:before="159" w:after="0"/>
        <w:ind w:left="477" w:right="1403" w:hanging="358"/>
        <w:jc w:val="left"/>
        <w:rPr>
          <w:rFonts w:ascii="Symbol" w:hAnsi="Symbol"/>
          <w:sz w:val="24"/>
        </w:rPr>
      </w:pPr>
      <w:r>
        <w:rPr>
          <w:rFonts w:ascii="Calibri" w:hAnsi="Calibri"/>
          <w:sz w:val="24"/>
        </w:rPr>
        <w:t>Agreement of an appropriate clinical model for all pathology services including development and agreement of a delivery</w:t>
      </w:r>
      <w:r>
        <w:rPr>
          <w:rFonts w:ascii="Calibri" w:hAnsi="Calibri"/>
          <w:spacing w:val="-8"/>
          <w:sz w:val="24"/>
        </w:rPr>
        <w:t> </w:t>
      </w:r>
      <w:r>
        <w:rPr>
          <w:rFonts w:ascii="Calibri" w:hAnsi="Calibri"/>
          <w:sz w:val="24"/>
        </w:rPr>
        <w:t>model.</w:t>
      </w:r>
    </w:p>
    <w:p>
      <w:pPr>
        <w:pStyle w:val="ListParagraph"/>
        <w:numPr>
          <w:ilvl w:val="0"/>
          <w:numId w:val="3"/>
        </w:numPr>
        <w:tabs>
          <w:tab w:pos="477" w:val="left" w:leader="none"/>
          <w:tab w:pos="478" w:val="left" w:leader="none"/>
        </w:tabs>
        <w:spacing w:line="256" w:lineRule="auto" w:before="166" w:after="0"/>
        <w:ind w:left="477" w:right="649" w:hanging="358"/>
        <w:jc w:val="left"/>
        <w:rPr>
          <w:rFonts w:ascii="Symbol" w:hAnsi="Symbol"/>
          <w:sz w:val="24"/>
        </w:rPr>
      </w:pPr>
      <w:r>
        <w:rPr>
          <w:rFonts w:ascii="Calibri" w:hAnsi="Calibri"/>
          <w:sz w:val="24"/>
        </w:rPr>
        <w:t>Coordination of all equipment procurement leading to common automation platforms across the network.</w:t>
      </w:r>
    </w:p>
    <w:p>
      <w:pPr>
        <w:pStyle w:val="ListParagraph"/>
        <w:numPr>
          <w:ilvl w:val="0"/>
          <w:numId w:val="3"/>
        </w:numPr>
        <w:tabs>
          <w:tab w:pos="477" w:val="left" w:leader="none"/>
          <w:tab w:pos="478" w:val="left" w:leader="none"/>
        </w:tabs>
        <w:spacing w:line="256" w:lineRule="auto" w:before="165" w:after="0"/>
        <w:ind w:left="477" w:right="455" w:hanging="358"/>
        <w:jc w:val="left"/>
        <w:rPr>
          <w:rFonts w:ascii="Symbol" w:hAnsi="Symbol"/>
          <w:sz w:val="24"/>
        </w:rPr>
      </w:pPr>
      <w:r>
        <w:rPr>
          <w:rFonts w:ascii="Calibri" w:hAnsi="Calibri"/>
          <w:sz w:val="24"/>
        </w:rPr>
        <w:t>Responsibility for managing the response to Pathology related GIRFT (Getting it Right First Time) across the network including standardisation and harmonisation of</w:t>
      </w:r>
      <w:r>
        <w:rPr>
          <w:rFonts w:ascii="Calibri" w:hAnsi="Calibri"/>
          <w:spacing w:val="-20"/>
          <w:sz w:val="24"/>
        </w:rPr>
        <w:t> </w:t>
      </w:r>
      <w:r>
        <w:rPr>
          <w:rFonts w:ascii="Calibri" w:hAnsi="Calibri"/>
          <w:sz w:val="24"/>
        </w:rPr>
        <w:t>practices.</w:t>
      </w:r>
    </w:p>
    <w:p>
      <w:pPr>
        <w:pStyle w:val="ListParagraph"/>
        <w:numPr>
          <w:ilvl w:val="0"/>
          <w:numId w:val="3"/>
        </w:numPr>
        <w:tabs>
          <w:tab w:pos="477" w:val="left" w:leader="none"/>
          <w:tab w:pos="478" w:val="left" w:leader="none"/>
        </w:tabs>
        <w:spacing w:line="259" w:lineRule="auto" w:before="164" w:after="0"/>
        <w:ind w:left="477" w:right="407" w:hanging="358"/>
        <w:jc w:val="left"/>
        <w:rPr>
          <w:rFonts w:ascii="Symbol" w:hAnsi="Symbol"/>
          <w:sz w:val="24"/>
        </w:rPr>
      </w:pPr>
      <w:r>
        <w:rPr>
          <w:rFonts w:ascii="Calibri" w:hAnsi="Calibri"/>
          <w:sz w:val="24"/>
        </w:rPr>
        <w:t>Developing and implementation a programme for rolling out Point of Care Testing across the</w:t>
      </w:r>
      <w:r>
        <w:rPr>
          <w:rFonts w:ascii="Calibri" w:hAnsi="Calibri"/>
          <w:spacing w:val="-2"/>
          <w:sz w:val="24"/>
        </w:rPr>
        <w:t> </w:t>
      </w:r>
      <w:r>
        <w:rPr>
          <w:rFonts w:ascii="Calibri" w:hAnsi="Calibri"/>
          <w:sz w:val="24"/>
        </w:rPr>
        <w:t>network.</w:t>
      </w:r>
    </w:p>
    <w:p>
      <w:pPr>
        <w:pStyle w:val="ListParagraph"/>
        <w:numPr>
          <w:ilvl w:val="0"/>
          <w:numId w:val="3"/>
        </w:numPr>
        <w:tabs>
          <w:tab w:pos="477" w:val="left" w:leader="none"/>
          <w:tab w:pos="478" w:val="left" w:leader="none"/>
        </w:tabs>
        <w:spacing w:line="256" w:lineRule="auto" w:before="161" w:after="0"/>
        <w:ind w:left="477" w:right="891" w:hanging="358"/>
        <w:jc w:val="left"/>
        <w:rPr>
          <w:rFonts w:ascii="Symbol" w:hAnsi="Symbol"/>
          <w:sz w:val="24"/>
        </w:rPr>
      </w:pPr>
      <w:r>
        <w:rPr>
          <w:rFonts w:ascii="Calibri" w:hAnsi="Calibri"/>
          <w:sz w:val="24"/>
        </w:rPr>
        <w:t>Coordination and delivery of the Cancer restoration plans with regards to Pathology services.</w:t>
      </w:r>
    </w:p>
    <w:p>
      <w:pPr>
        <w:pStyle w:val="ListParagraph"/>
        <w:numPr>
          <w:ilvl w:val="0"/>
          <w:numId w:val="3"/>
        </w:numPr>
        <w:tabs>
          <w:tab w:pos="477" w:val="left" w:leader="none"/>
          <w:tab w:pos="478" w:val="left" w:leader="none"/>
        </w:tabs>
        <w:spacing w:line="240" w:lineRule="auto" w:before="164" w:after="0"/>
        <w:ind w:left="477" w:right="0" w:hanging="359"/>
        <w:jc w:val="left"/>
        <w:rPr>
          <w:rFonts w:ascii="Symbol" w:hAnsi="Symbol"/>
          <w:sz w:val="24"/>
        </w:rPr>
      </w:pPr>
      <w:r>
        <w:rPr>
          <w:rFonts w:ascii="Calibri" w:hAnsi="Calibri"/>
          <w:sz w:val="24"/>
        </w:rPr>
        <w:t>Agreement to a network wide workforce</w:t>
      </w:r>
      <w:r>
        <w:rPr>
          <w:rFonts w:ascii="Calibri" w:hAnsi="Calibri"/>
          <w:spacing w:val="-5"/>
          <w:sz w:val="24"/>
        </w:rPr>
        <w:t> </w:t>
      </w:r>
      <w:r>
        <w:rPr>
          <w:rFonts w:ascii="Calibri" w:hAnsi="Calibri"/>
          <w:sz w:val="24"/>
        </w:rPr>
        <w:t>strategy.</w:t>
      </w:r>
    </w:p>
    <w:p>
      <w:pPr>
        <w:pStyle w:val="ListParagraph"/>
        <w:numPr>
          <w:ilvl w:val="0"/>
          <w:numId w:val="3"/>
        </w:numPr>
        <w:tabs>
          <w:tab w:pos="477" w:val="left" w:leader="none"/>
          <w:tab w:pos="478" w:val="left" w:leader="none"/>
        </w:tabs>
        <w:spacing w:line="256" w:lineRule="auto" w:before="184" w:after="0"/>
        <w:ind w:left="477" w:right="513" w:hanging="358"/>
        <w:jc w:val="left"/>
        <w:rPr>
          <w:rFonts w:ascii="Symbol" w:hAnsi="Symbol"/>
          <w:sz w:val="24"/>
        </w:rPr>
      </w:pPr>
      <w:r>
        <w:rPr>
          <w:rFonts w:ascii="Calibri" w:hAnsi="Calibri"/>
          <w:sz w:val="24"/>
        </w:rPr>
        <w:t>Establishing a network wide approach to QMS and coordinating all aspects of pathology related clinical</w:t>
      </w:r>
      <w:r>
        <w:rPr>
          <w:rFonts w:ascii="Calibri" w:hAnsi="Calibri"/>
          <w:spacing w:val="-1"/>
          <w:sz w:val="24"/>
        </w:rPr>
        <w:t> </w:t>
      </w:r>
      <w:r>
        <w:rPr>
          <w:rFonts w:ascii="Calibri" w:hAnsi="Calibri"/>
          <w:sz w:val="24"/>
        </w:rPr>
        <w:t>governance.</w:t>
      </w:r>
    </w:p>
    <w:p>
      <w:pPr>
        <w:pStyle w:val="ListParagraph"/>
        <w:numPr>
          <w:ilvl w:val="0"/>
          <w:numId w:val="3"/>
        </w:numPr>
        <w:tabs>
          <w:tab w:pos="477" w:val="left" w:leader="none"/>
          <w:tab w:pos="478" w:val="left" w:leader="none"/>
        </w:tabs>
        <w:spacing w:line="240" w:lineRule="auto" w:before="166" w:after="0"/>
        <w:ind w:left="477" w:right="0" w:hanging="359"/>
        <w:jc w:val="left"/>
        <w:rPr>
          <w:rFonts w:ascii="Symbol" w:hAnsi="Symbol"/>
          <w:sz w:val="24"/>
        </w:rPr>
      </w:pPr>
      <w:r>
        <w:rPr>
          <w:rFonts w:ascii="Calibri" w:hAnsi="Calibri"/>
          <w:sz w:val="24"/>
        </w:rPr>
        <w:t>Implementation and roll out of the genomics programme across the</w:t>
      </w:r>
      <w:r>
        <w:rPr>
          <w:rFonts w:ascii="Calibri" w:hAnsi="Calibri"/>
          <w:spacing w:val="-10"/>
          <w:sz w:val="24"/>
        </w:rPr>
        <w:t> </w:t>
      </w:r>
      <w:r>
        <w:rPr>
          <w:rFonts w:ascii="Calibri" w:hAnsi="Calibri"/>
          <w:sz w:val="24"/>
        </w:rPr>
        <w:t>network.</w:t>
      </w:r>
    </w:p>
    <w:p>
      <w:pPr>
        <w:spacing w:after="0" w:line="240" w:lineRule="auto"/>
        <w:jc w:val="left"/>
        <w:rPr>
          <w:rFonts w:ascii="Symbol" w:hAnsi="Symbol"/>
          <w:sz w:val="24"/>
        </w:rPr>
        <w:sectPr>
          <w:pgSz w:w="11910" w:h="16840"/>
          <w:pgMar w:header="0" w:footer="1002" w:top="1360" w:bottom="1200" w:left="1320" w:right="1040"/>
        </w:sectPr>
      </w:pPr>
    </w:p>
    <w:p>
      <w:pPr>
        <w:pStyle w:val="ListParagraph"/>
        <w:numPr>
          <w:ilvl w:val="0"/>
          <w:numId w:val="3"/>
        </w:numPr>
        <w:tabs>
          <w:tab w:pos="477" w:val="left" w:leader="none"/>
          <w:tab w:pos="478" w:val="left" w:leader="none"/>
        </w:tabs>
        <w:spacing w:line="256" w:lineRule="auto" w:before="82" w:after="0"/>
        <w:ind w:left="477" w:right="693" w:hanging="358"/>
        <w:jc w:val="left"/>
        <w:rPr>
          <w:rFonts w:ascii="Symbol" w:hAnsi="Symbol"/>
          <w:sz w:val="24"/>
        </w:rPr>
      </w:pPr>
      <w:r>
        <w:rPr>
          <w:rFonts w:ascii="Calibri" w:hAnsi="Calibri"/>
          <w:sz w:val="24"/>
        </w:rPr>
        <w:t>Oversight and management of all pathology related research and development across the</w:t>
      </w:r>
      <w:r>
        <w:rPr>
          <w:rFonts w:ascii="Calibri" w:hAnsi="Calibri"/>
          <w:spacing w:val="-2"/>
          <w:sz w:val="24"/>
        </w:rPr>
        <w:t> </w:t>
      </w:r>
      <w:r>
        <w:rPr>
          <w:rFonts w:ascii="Calibri" w:hAnsi="Calibri"/>
          <w:sz w:val="24"/>
        </w:rPr>
        <w:t>network.</w:t>
      </w:r>
    </w:p>
    <w:p>
      <w:pPr>
        <w:pStyle w:val="ListParagraph"/>
        <w:numPr>
          <w:ilvl w:val="0"/>
          <w:numId w:val="3"/>
        </w:numPr>
        <w:tabs>
          <w:tab w:pos="477" w:val="left" w:leader="none"/>
          <w:tab w:pos="478" w:val="left" w:leader="none"/>
        </w:tabs>
        <w:spacing w:line="259" w:lineRule="auto" w:before="163" w:after="0"/>
        <w:ind w:left="477" w:right="600" w:hanging="358"/>
        <w:jc w:val="left"/>
        <w:rPr>
          <w:rFonts w:ascii="Symbol" w:hAnsi="Symbol"/>
          <w:sz w:val="22"/>
        </w:rPr>
      </w:pPr>
      <w:r>
        <w:rPr>
          <w:rFonts w:ascii="Calibri" w:hAnsi="Calibri"/>
          <w:sz w:val="24"/>
        </w:rPr>
        <w:t>Agreeing the Terms of Reference for the Pathology Network Board as a sub-committee of the</w:t>
      </w:r>
      <w:r>
        <w:rPr>
          <w:rFonts w:ascii="Calibri" w:hAnsi="Calibri"/>
          <w:spacing w:val="-2"/>
          <w:sz w:val="24"/>
        </w:rPr>
        <w:t> </w:t>
      </w:r>
      <w:r>
        <w:rPr>
          <w:rFonts w:ascii="Calibri" w:hAnsi="Calibri"/>
          <w:sz w:val="24"/>
        </w:rPr>
        <w:t>PCB.</w:t>
      </w:r>
    </w:p>
    <w:p>
      <w:pPr>
        <w:spacing w:after="0" w:line="259" w:lineRule="auto"/>
        <w:jc w:val="left"/>
        <w:rPr>
          <w:rFonts w:ascii="Symbol" w:hAnsi="Symbol"/>
          <w:sz w:val="22"/>
        </w:rPr>
        <w:sectPr>
          <w:pgSz w:w="11910" w:h="16840"/>
          <w:pgMar w:header="0" w:footer="1002" w:top="1340" w:bottom="1200" w:left="1320" w:right="1040"/>
        </w:sectPr>
      </w:pPr>
    </w:p>
    <w:p>
      <w:pPr>
        <w:pStyle w:val="Heading2"/>
        <w:spacing w:line="276" w:lineRule="auto" w:before="81"/>
        <w:ind w:left="120" w:right="559" w:firstLine="0"/>
      </w:pPr>
      <w:bookmarkStart w:name="Appendix B - Lancashire and South Cumbri" w:id="13"/>
      <w:bookmarkEnd w:id="13"/>
      <w:r>
        <w:rPr>
          <w:b w:val="0"/>
        </w:rPr>
      </w:r>
      <w:r>
        <w:rPr/>
        <w:t>Appendix B - Lancashire and South Cumbria Provider Collaboration Board – Dispute Resolution Process</w:t>
      </w:r>
    </w:p>
    <w:p>
      <w:pPr>
        <w:pStyle w:val="BodyText"/>
        <w:spacing w:before="3"/>
        <w:rPr>
          <w:b/>
        </w:rPr>
      </w:pPr>
    </w:p>
    <w:p>
      <w:pPr>
        <w:pStyle w:val="ListParagraph"/>
        <w:numPr>
          <w:ilvl w:val="1"/>
          <w:numId w:val="4"/>
        </w:numPr>
        <w:tabs>
          <w:tab w:pos="480" w:val="left" w:leader="none"/>
        </w:tabs>
        <w:spacing w:line="240" w:lineRule="auto" w:before="0" w:after="0"/>
        <w:ind w:left="480" w:right="0" w:hanging="360"/>
        <w:jc w:val="left"/>
        <w:rPr>
          <w:b/>
          <w:sz w:val="22"/>
        </w:rPr>
      </w:pPr>
      <w:r>
        <w:rPr>
          <w:b/>
          <w:sz w:val="22"/>
        </w:rPr>
        <w:t>INTRODUCTION</w:t>
      </w:r>
    </w:p>
    <w:p>
      <w:pPr>
        <w:pStyle w:val="BodyText"/>
        <w:spacing w:before="4"/>
        <w:rPr>
          <w:b/>
          <w:sz w:val="20"/>
        </w:rPr>
      </w:pPr>
    </w:p>
    <w:p>
      <w:pPr>
        <w:pStyle w:val="ListParagraph"/>
        <w:numPr>
          <w:ilvl w:val="1"/>
          <w:numId w:val="4"/>
        </w:numPr>
        <w:tabs>
          <w:tab w:pos="839" w:val="left" w:leader="none"/>
          <w:tab w:pos="840" w:val="left" w:leader="none"/>
        </w:tabs>
        <w:spacing w:line="276" w:lineRule="auto" w:before="0" w:after="0"/>
        <w:ind w:left="839" w:right="586" w:hanging="720"/>
        <w:jc w:val="left"/>
        <w:rPr>
          <w:sz w:val="22"/>
        </w:rPr>
      </w:pPr>
      <w:r>
        <w:rPr>
          <w:sz w:val="22"/>
        </w:rPr>
        <w:t>A formal dispute resolution process is a last resort; organisations should do all they can to avoid disputes and, when they do occur, the aim should be to resolve them swiftly. Formal involvement in a dispute is a sign that the parties have failed in their duty to work together effectively for the benefit of the 1.7 million population of the region. This document sets out the dispute process and, to reduce the number and scale of these failures, it also outlines how organisations can be supported in resolving disputes before they require any formal</w:t>
      </w:r>
      <w:r>
        <w:rPr>
          <w:spacing w:val="-18"/>
          <w:sz w:val="22"/>
        </w:rPr>
        <w:t> </w:t>
      </w:r>
      <w:r>
        <w:rPr>
          <w:sz w:val="22"/>
        </w:rPr>
        <w:t>process.</w:t>
      </w:r>
    </w:p>
    <w:p>
      <w:pPr>
        <w:pStyle w:val="BodyText"/>
        <w:rPr>
          <w:sz w:val="24"/>
        </w:rPr>
      </w:pPr>
    </w:p>
    <w:p>
      <w:pPr>
        <w:pStyle w:val="BodyText"/>
        <w:spacing w:before="10"/>
        <w:rPr>
          <w:sz w:val="18"/>
        </w:rPr>
      </w:pPr>
    </w:p>
    <w:p>
      <w:pPr>
        <w:pStyle w:val="Heading2"/>
        <w:numPr>
          <w:ilvl w:val="1"/>
          <w:numId w:val="5"/>
        </w:numPr>
        <w:tabs>
          <w:tab w:pos="839" w:val="left" w:leader="none"/>
          <w:tab w:pos="840" w:val="left" w:leader="none"/>
        </w:tabs>
        <w:spacing w:line="240" w:lineRule="auto" w:before="0" w:after="0"/>
        <w:ind w:left="839" w:right="0" w:hanging="721"/>
        <w:jc w:val="left"/>
      </w:pPr>
      <w:r>
        <w:rPr/>
        <w:t>PRINCIPLES OF THE DISPUTE RESOLUTION</w:t>
      </w:r>
      <w:r>
        <w:rPr>
          <w:spacing w:val="-9"/>
        </w:rPr>
        <w:t> </w:t>
      </w:r>
      <w:r>
        <w:rPr/>
        <w:t>PROCESS</w:t>
      </w:r>
    </w:p>
    <w:p>
      <w:pPr>
        <w:pStyle w:val="BodyText"/>
        <w:spacing w:before="9"/>
        <w:rPr>
          <w:b/>
          <w:sz w:val="20"/>
        </w:rPr>
      </w:pPr>
    </w:p>
    <w:p>
      <w:pPr>
        <w:pStyle w:val="ListParagraph"/>
        <w:numPr>
          <w:ilvl w:val="1"/>
          <w:numId w:val="5"/>
        </w:numPr>
        <w:tabs>
          <w:tab w:pos="839" w:val="left" w:leader="none"/>
          <w:tab w:pos="840" w:val="left" w:leader="none"/>
        </w:tabs>
        <w:spacing w:line="240" w:lineRule="auto" w:before="0" w:after="0"/>
        <w:ind w:left="839" w:right="0" w:hanging="721"/>
        <w:jc w:val="left"/>
        <w:rPr>
          <w:sz w:val="22"/>
        </w:rPr>
      </w:pPr>
      <w:r>
        <w:rPr>
          <w:sz w:val="22"/>
        </w:rPr>
        <w:t>The following principles are to be adhered to for any dispute</w:t>
      </w:r>
      <w:r>
        <w:rPr>
          <w:spacing w:val="-18"/>
          <w:sz w:val="22"/>
        </w:rPr>
        <w:t> </w:t>
      </w:r>
      <w:r>
        <w:rPr>
          <w:sz w:val="22"/>
        </w:rPr>
        <w:t>resolution:</w:t>
      </w:r>
    </w:p>
    <w:p>
      <w:pPr>
        <w:pStyle w:val="BodyText"/>
        <w:spacing w:before="6"/>
        <w:rPr>
          <w:sz w:val="20"/>
        </w:rPr>
      </w:pPr>
    </w:p>
    <w:p>
      <w:pPr>
        <w:pStyle w:val="ListParagraph"/>
        <w:numPr>
          <w:ilvl w:val="2"/>
          <w:numId w:val="5"/>
        </w:numPr>
        <w:tabs>
          <w:tab w:pos="1251" w:val="left" w:leader="none"/>
          <w:tab w:pos="1252" w:val="left" w:leader="none"/>
        </w:tabs>
        <w:spacing w:line="273" w:lineRule="auto" w:before="1" w:after="0"/>
        <w:ind w:left="1251" w:right="405" w:hanging="425"/>
        <w:jc w:val="left"/>
        <w:rPr>
          <w:sz w:val="22"/>
        </w:rPr>
      </w:pPr>
      <w:r>
        <w:rPr>
          <w:sz w:val="22"/>
        </w:rPr>
        <w:t>The resolution agreement must be in the best interests of the population. It must maintain the quality of health and social care now and in the future, deliver the best possible outcomes for our population, support innovation where appropriate, make care more cost-effective, and allocate risk</w:t>
      </w:r>
      <w:r>
        <w:rPr>
          <w:spacing w:val="-12"/>
          <w:sz w:val="22"/>
        </w:rPr>
        <w:t> </w:t>
      </w:r>
      <w:r>
        <w:rPr>
          <w:sz w:val="22"/>
        </w:rPr>
        <w:t>fairly</w:t>
      </w:r>
    </w:p>
    <w:p>
      <w:pPr>
        <w:pStyle w:val="ListParagraph"/>
        <w:numPr>
          <w:ilvl w:val="2"/>
          <w:numId w:val="5"/>
        </w:numPr>
        <w:tabs>
          <w:tab w:pos="1251" w:val="left" w:leader="none"/>
          <w:tab w:pos="1252" w:val="left" w:leader="none"/>
        </w:tabs>
        <w:spacing w:line="273" w:lineRule="auto" w:before="5" w:after="0"/>
        <w:ind w:left="1251" w:right="596" w:hanging="425"/>
        <w:jc w:val="left"/>
        <w:rPr>
          <w:sz w:val="22"/>
        </w:rPr>
      </w:pPr>
      <w:r>
        <w:rPr>
          <w:sz w:val="22"/>
        </w:rPr>
        <w:t>The resolution agreement must promote transparency and accountability. It should hold the members of the PCB accountable to each other and to patients and citizens, and facilitate the sharing of information to achieve the transformation objectives across Lancashire and South</w:t>
      </w:r>
      <w:r>
        <w:rPr>
          <w:spacing w:val="-11"/>
          <w:sz w:val="22"/>
        </w:rPr>
        <w:t> </w:t>
      </w:r>
      <w:r>
        <w:rPr>
          <w:sz w:val="22"/>
        </w:rPr>
        <w:t>Cumbria</w:t>
      </w:r>
    </w:p>
    <w:p>
      <w:pPr>
        <w:pStyle w:val="ListParagraph"/>
        <w:numPr>
          <w:ilvl w:val="2"/>
          <w:numId w:val="5"/>
        </w:numPr>
        <w:tabs>
          <w:tab w:pos="1251" w:val="left" w:leader="none"/>
          <w:tab w:pos="1252" w:val="left" w:leader="none"/>
        </w:tabs>
        <w:spacing w:line="276" w:lineRule="auto" w:before="6" w:after="0"/>
        <w:ind w:left="1251" w:right="577" w:hanging="425"/>
        <w:jc w:val="left"/>
        <w:rPr>
          <w:sz w:val="22"/>
        </w:rPr>
      </w:pPr>
      <w:r>
        <w:rPr>
          <w:sz w:val="22"/>
        </w:rPr>
        <w:t>The parties to the PCB must engage constructively with each other within the dispute resolution process when working to reach agreements. This should involve agreeing a framework for negotiations, the sharing of relevant information, engaging appropriate stakeholders where applicable, and agreeing appropriate joint objectives for service improvement and</w:t>
      </w:r>
      <w:r>
        <w:rPr>
          <w:spacing w:val="-5"/>
          <w:sz w:val="22"/>
        </w:rPr>
        <w:t> </w:t>
      </w:r>
      <w:r>
        <w:rPr>
          <w:sz w:val="22"/>
        </w:rPr>
        <w:t>delivery.</w:t>
      </w:r>
    </w:p>
    <w:p>
      <w:pPr>
        <w:pStyle w:val="Heading2"/>
        <w:numPr>
          <w:ilvl w:val="1"/>
          <w:numId w:val="6"/>
        </w:numPr>
        <w:tabs>
          <w:tab w:pos="838" w:val="left" w:leader="none"/>
          <w:tab w:pos="840" w:val="left" w:leader="none"/>
        </w:tabs>
        <w:spacing w:line="240" w:lineRule="auto" w:before="197" w:after="0"/>
        <w:ind w:left="839" w:right="0" w:hanging="721"/>
        <w:jc w:val="left"/>
      </w:pPr>
      <w:r>
        <w:rPr/>
        <w:t>SCOPE AND APPLICATION OF THE DISPUTE RESOLUTION</w:t>
      </w:r>
      <w:r>
        <w:rPr>
          <w:spacing w:val="-16"/>
        </w:rPr>
        <w:t> </w:t>
      </w:r>
      <w:r>
        <w:rPr/>
        <w:t>PROCESS</w:t>
      </w:r>
    </w:p>
    <w:p>
      <w:pPr>
        <w:pStyle w:val="BodyText"/>
        <w:spacing w:before="6"/>
        <w:rPr>
          <w:b/>
          <w:sz w:val="20"/>
        </w:rPr>
      </w:pPr>
    </w:p>
    <w:p>
      <w:pPr>
        <w:pStyle w:val="ListParagraph"/>
        <w:numPr>
          <w:ilvl w:val="1"/>
          <w:numId w:val="6"/>
        </w:numPr>
        <w:tabs>
          <w:tab w:pos="826" w:val="left" w:leader="none"/>
          <w:tab w:pos="827" w:val="left" w:leader="none"/>
        </w:tabs>
        <w:spacing w:line="278" w:lineRule="auto" w:before="1" w:after="0"/>
        <w:ind w:left="826" w:right="509" w:hanging="708"/>
        <w:jc w:val="left"/>
        <w:rPr>
          <w:sz w:val="22"/>
        </w:rPr>
      </w:pPr>
      <w:r>
        <w:rPr>
          <w:sz w:val="22"/>
        </w:rPr>
        <w:t>This dispute resolution process is intended for application to disputes arising beyond the geography of a single organisation or</w:t>
      </w:r>
      <w:r>
        <w:rPr>
          <w:spacing w:val="-5"/>
          <w:sz w:val="22"/>
        </w:rPr>
        <w:t> </w:t>
      </w:r>
      <w:r>
        <w:rPr>
          <w:sz w:val="22"/>
        </w:rPr>
        <w:t>locality.</w:t>
      </w:r>
    </w:p>
    <w:p>
      <w:pPr>
        <w:pStyle w:val="ListParagraph"/>
        <w:numPr>
          <w:ilvl w:val="1"/>
          <w:numId w:val="6"/>
        </w:numPr>
        <w:tabs>
          <w:tab w:pos="826" w:val="left" w:leader="none"/>
          <w:tab w:pos="827" w:val="left" w:leader="none"/>
        </w:tabs>
        <w:spacing w:line="276" w:lineRule="auto" w:before="195" w:after="0"/>
        <w:ind w:left="826" w:right="463" w:hanging="708"/>
        <w:jc w:val="left"/>
        <w:rPr>
          <w:sz w:val="22"/>
        </w:rPr>
      </w:pPr>
      <w:r>
        <w:rPr>
          <w:sz w:val="22"/>
        </w:rPr>
        <w:t>In the absence of any other such arrangements all localities are encouraged to adopt the policy to ensure wherever possible that a swift and satisfactory conclusion for all parties of any dispute is reached in compliance with the disputes resolution</w:t>
      </w:r>
      <w:r>
        <w:rPr>
          <w:spacing w:val="-37"/>
          <w:sz w:val="22"/>
        </w:rPr>
        <w:t> </w:t>
      </w:r>
      <w:r>
        <w:rPr>
          <w:sz w:val="22"/>
        </w:rPr>
        <w:t>process.</w:t>
      </w:r>
    </w:p>
    <w:p>
      <w:pPr>
        <w:pStyle w:val="ListParagraph"/>
        <w:numPr>
          <w:ilvl w:val="1"/>
          <w:numId w:val="6"/>
        </w:numPr>
        <w:tabs>
          <w:tab w:pos="826" w:val="left" w:leader="none"/>
          <w:tab w:pos="827" w:val="left" w:leader="none"/>
        </w:tabs>
        <w:spacing w:line="240" w:lineRule="auto" w:before="202" w:after="0"/>
        <w:ind w:left="826" w:right="0" w:hanging="709"/>
        <w:jc w:val="left"/>
        <w:rPr>
          <w:sz w:val="22"/>
        </w:rPr>
      </w:pPr>
      <w:r>
        <w:rPr>
          <w:sz w:val="22"/>
        </w:rPr>
        <w:t>The dispute resolution process applies to disputes arising from the</w:t>
      </w:r>
      <w:r>
        <w:rPr>
          <w:spacing w:val="-19"/>
          <w:sz w:val="22"/>
        </w:rPr>
        <w:t> </w:t>
      </w:r>
      <w:r>
        <w:rPr>
          <w:sz w:val="22"/>
        </w:rPr>
        <w:t>following:</w:t>
      </w:r>
    </w:p>
    <w:p>
      <w:pPr>
        <w:pStyle w:val="BodyText"/>
        <w:spacing w:before="4"/>
        <w:rPr>
          <w:sz w:val="20"/>
        </w:rPr>
      </w:pPr>
    </w:p>
    <w:p>
      <w:pPr>
        <w:pStyle w:val="ListParagraph"/>
        <w:numPr>
          <w:ilvl w:val="2"/>
          <w:numId w:val="6"/>
        </w:numPr>
        <w:tabs>
          <w:tab w:pos="1251" w:val="left" w:leader="none"/>
          <w:tab w:pos="1252" w:val="left" w:leader="none"/>
        </w:tabs>
        <w:spacing w:line="276" w:lineRule="auto" w:before="0" w:after="0"/>
        <w:ind w:left="1251" w:right="700" w:hanging="425"/>
        <w:jc w:val="left"/>
        <w:rPr>
          <w:sz w:val="22"/>
        </w:rPr>
      </w:pPr>
      <w:r>
        <w:rPr>
          <w:sz w:val="22"/>
        </w:rPr>
        <w:t>Any non-compliance with decisions agreed through the formal PCB and ICB governance processes of both Boards and their associated governance, and specific approved minutes detailing specific decisions made at such meetings, and</w:t>
      </w:r>
    </w:p>
    <w:p>
      <w:pPr>
        <w:pStyle w:val="ListParagraph"/>
        <w:numPr>
          <w:ilvl w:val="2"/>
          <w:numId w:val="6"/>
        </w:numPr>
        <w:tabs>
          <w:tab w:pos="1251" w:val="left" w:leader="none"/>
          <w:tab w:pos="1252" w:val="left" w:leader="none"/>
        </w:tabs>
        <w:spacing w:line="265" w:lineRule="exact" w:before="0" w:after="0"/>
        <w:ind w:left="1251" w:right="0" w:hanging="426"/>
        <w:jc w:val="left"/>
        <w:rPr>
          <w:sz w:val="22"/>
        </w:rPr>
      </w:pPr>
      <w:r>
        <w:rPr>
          <w:sz w:val="22"/>
        </w:rPr>
        <w:t>Actions that are in breach of the decisions of the</w:t>
      </w:r>
      <w:r>
        <w:rPr>
          <w:spacing w:val="-9"/>
          <w:sz w:val="22"/>
        </w:rPr>
        <w:t> </w:t>
      </w:r>
      <w:r>
        <w:rPr>
          <w:sz w:val="22"/>
        </w:rPr>
        <w:t>PCB.</w:t>
      </w:r>
    </w:p>
    <w:p>
      <w:pPr>
        <w:pStyle w:val="BodyText"/>
        <w:rPr>
          <w:sz w:val="26"/>
        </w:rPr>
      </w:pPr>
    </w:p>
    <w:p>
      <w:pPr>
        <w:pStyle w:val="Heading2"/>
        <w:numPr>
          <w:ilvl w:val="1"/>
          <w:numId w:val="7"/>
        </w:numPr>
        <w:tabs>
          <w:tab w:pos="838" w:val="left" w:leader="none"/>
          <w:tab w:pos="839" w:val="left" w:leader="none"/>
        </w:tabs>
        <w:spacing w:line="240" w:lineRule="auto" w:before="231" w:after="0"/>
        <w:ind w:left="838" w:right="0" w:hanging="721"/>
        <w:jc w:val="left"/>
      </w:pPr>
      <w:r>
        <w:rPr/>
        <w:t>OUTLINE OF THE DISPUTE RESOLUTION</w:t>
      </w:r>
      <w:r>
        <w:rPr>
          <w:spacing w:val="-11"/>
        </w:rPr>
        <w:t> </w:t>
      </w:r>
      <w:r>
        <w:rPr/>
        <w:t>PROCESS</w:t>
      </w:r>
    </w:p>
    <w:p>
      <w:pPr>
        <w:spacing w:after="0" w:line="240" w:lineRule="auto"/>
        <w:jc w:val="left"/>
        <w:sectPr>
          <w:pgSz w:w="11910" w:h="16840"/>
          <w:pgMar w:header="0" w:footer="1002" w:top="1340" w:bottom="1200" w:left="1320" w:right="1040"/>
        </w:sectPr>
      </w:pPr>
    </w:p>
    <w:p>
      <w:pPr>
        <w:pStyle w:val="ListParagraph"/>
        <w:numPr>
          <w:ilvl w:val="1"/>
          <w:numId w:val="7"/>
        </w:numPr>
        <w:tabs>
          <w:tab w:pos="839" w:val="left" w:leader="none"/>
          <w:tab w:pos="840" w:val="left" w:leader="none"/>
        </w:tabs>
        <w:spacing w:line="240" w:lineRule="auto" w:before="64" w:after="0"/>
        <w:ind w:left="839" w:right="0" w:hanging="720"/>
        <w:jc w:val="left"/>
        <w:rPr>
          <w:sz w:val="22"/>
        </w:rPr>
      </w:pPr>
      <w:r>
        <w:rPr>
          <w:sz w:val="22"/>
        </w:rPr>
        <w:t>This dispute resolution process operates in three</w:t>
      </w:r>
      <w:r>
        <w:rPr>
          <w:spacing w:val="-9"/>
          <w:sz w:val="22"/>
        </w:rPr>
        <w:t> </w:t>
      </w:r>
      <w:r>
        <w:rPr>
          <w:sz w:val="22"/>
        </w:rPr>
        <w:t>stages:</w:t>
      </w:r>
    </w:p>
    <w:p>
      <w:pPr>
        <w:pStyle w:val="BodyText"/>
        <w:spacing w:before="6"/>
        <w:rPr>
          <w:sz w:val="20"/>
        </w:rPr>
      </w:pPr>
    </w:p>
    <w:p>
      <w:pPr>
        <w:pStyle w:val="ListParagraph"/>
        <w:numPr>
          <w:ilvl w:val="2"/>
          <w:numId w:val="7"/>
        </w:numPr>
        <w:tabs>
          <w:tab w:pos="1252" w:val="left" w:leader="none"/>
          <w:tab w:pos="1254" w:val="left" w:leader="none"/>
        </w:tabs>
        <w:spacing w:line="276" w:lineRule="auto" w:before="0" w:after="0"/>
        <w:ind w:left="1252" w:right="524" w:hanging="425"/>
        <w:jc w:val="left"/>
        <w:rPr>
          <w:sz w:val="22"/>
        </w:rPr>
      </w:pPr>
      <w:r>
        <w:rPr>
          <w:sz w:val="22"/>
        </w:rPr>
        <w:t>Stage One - Mediation: The first stage involves advice and/or mediation which must be taken by agreement solely between the disputed parties. </w:t>
      </w:r>
      <w:r>
        <w:rPr>
          <w:sz w:val="22"/>
          <w:u w:val="single"/>
        </w:rPr>
        <w:t>It is expected that this process will be concluded within a two-week period</w:t>
      </w:r>
      <w:r>
        <w:rPr>
          <w:sz w:val="22"/>
        </w:rPr>
        <w:t>. If the disputed parties reach an agreement this will be binding upon all parties and the dispute will be considered as</w:t>
      </w:r>
      <w:r>
        <w:rPr>
          <w:spacing w:val="-3"/>
          <w:sz w:val="22"/>
        </w:rPr>
        <w:t> </w:t>
      </w:r>
      <w:r>
        <w:rPr>
          <w:sz w:val="22"/>
        </w:rPr>
        <w:t>settled</w:t>
      </w:r>
    </w:p>
    <w:p>
      <w:pPr>
        <w:pStyle w:val="ListParagraph"/>
        <w:numPr>
          <w:ilvl w:val="2"/>
          <w:numId w:val="7"/>
        </w:numPr>
        <w:tabs>
          <w:tab w:pos="1252" w:val="left" w:leader="none"/>
          <w:tab w:pos="1254" w:val="left" w:leader="none"/>
        </w:tabs>
        <w:spacing w:line="276" w:lineRule="auto" w:before="199" w:after="0"/>
        <w:ind w:left="1252" w:right="477" w:hanging="360"/>
        <w:jc w:val="left"/>
        <w:rPr>
          <w:sz w:val="22"/>
        </w:rPr>
      </w:pPr>
      <w:r>
        <w:rPr/>
        <w:pict>
          <v:line style="position:absolute;mso-position-horizontal-relative:page;mso-position-vertical-relative:paragraph;z-index:-252209152" from="128.639999pt,66.305237pt" to="227.159999pt,66.305237pt" stroked="true" strokeweight=".841pt" strokecolor="#000000">
            <v:stroke dashstyle="solid"/>
            <w10:wrap type="none"/>
          </v:line>
        </w:pict>
      </w:r>
      <w:r>
        <w:rPr>
          <w:sz w:val="22"/>
        </w:rPr>
        <w:t>Stage Two - Negotiation: The second stage involves formal negotiation between the disputed parties with the aim of reaching a negotiated position which is acceptable to all parties. </w:t>
      </w:r>
      <w:r>
        <w:rPr>
          <w:sz w:val="22"/>
          <w:u w:val="single"/>
        </w:rPr>
        <w:t>It is expected that this process will be concluded within</w:t>
      </w:r>
      <w:r>
        <w:rPr>
          <w:sz w:val="22"/>
        </w:rPr>
        <w:t> a two-week period. If the disputed parties reach an agreement this will be binding upon all parties and the dispute will be considered as</w:t>
      </w:r>
      <w:r>
        <w:rPr>
          <w:spacing w:val="-19"/>
          <w:sz w:val="22"/>
        </w:rPr>
        <w:t> </w:t>
      </w:r>
      <w:r>
        <w:rPr>
          <w:sz w:val="22"/>
        </w:rPr>
        <w:t>settled</w:t>
      </w:r>
    </w:p>
    <w:p>
      <w:pPr>
        <w:pStyle w:val="ListParagraph"/>
        <w:numPr>
          <w:ilvl w:val="2"/>
          <w:numId w:val="7"/>
        </w:numPr>
        <w:tabs>
          <w:tab w:pos="1252" w:val="left" w:leader="none"/>
          <w:tab w:pos="1254" w:val="left" w:leader="none"/>
        </w:tabs>
        <w:spacing w:line="276" w:lineRule="auto" w:before="197" w:after="0"/>
        <w:ind w:left="1252" w:right="427" w:hanging="425"/>
        <w:jc w:val="left"/>
        <w:rPr>
          <w:sz w:val="22"/>
        </w:rPr>
      </w:pPr>
      <w:r>
        <w:rPr/>
        <w:pict>
          <v:line style="position:absolute;mso-position-horizontal-relative:page;mso-position-vertical-relative:paragraph;z-index:-252208128" from="228.960007pt,51.804245pt" to="518.160007pt,51.804245pt" stroked="true" strokeweight=".841pt" strokecolor="#000000">
            <v:stroke dashstyle="solid"/>
            <w10:wrap type="none"/>
          </v:line>
        </w:pict>
      </w:r>
      <w:r>
        <w:rPr>
          <w:sz w:val="22"/>
        </w:rPr>
        <w:t>Stage Three - Panel Negotiation: The third stage involves a more formal negotiation which will be facilitated by the Accountable Officer of the ICB (or their nominated deputy). It is expected that this third stage process will be concluded</w:t>
      </w:r>
      <w:r>
        <w:rPr>
          <w:sz w:val="22"/>
          <w:u w:val="single"/>
        </w:rPr>
        <w:t> within a four-week period</w:t>
      </w:r>
      <w:r>
        <w:rPr>
          <w:sz w:val="22"/>
        </w:rPr>
        <w:t>. This is the end of the dispute resolution</w:t>
      </w:r>
      <w:r>
        <w:rPr>
          <w:spacing w:val="-25"/>
          <w:sz w:val="22"/>
        </w:rPr>
        <w:t> </w:t>
      </w:r>
      <w:r>
        <w:rPr>
          <w:sz w:val="22"/>
        </w:rPr>
        <w:t>process.</w:t>
      </w:r>
    </w:p>
    <w:p>
      <w:pPr>
        <w:pStyle w:val="BodyText"/>
        <w:tabs>
          <w:tab w:pos="827" w:val="left" w:leader="none"/>
        </w:tabs>
        <w:spacing w:line="276" w:lineRule="auto" w:before="200"/>
        <w:ind w:left="827" w:right="643" w:hanging="708"/>
      </w:pPr>
      <w:r>
        <w:rPr/>
        <w:t>4.5</w:t>
        <w:tab/>
        <w:t>It is acknowledged that the Parties involved in any formal dispute have recourse to existing legal processes for dispute resolution. It is hoped that the process outlined here will support the local resolution of</w:t>
      </w:r>
      <w:r>
        <w:rPr>
          <w:spacing w:val="-4"/>
        </w:rPr>
        <w:t> </w:t>
      </w:r>
      <w:r>
        <w:rPr/>
        <w:t>disputes.</w:t>
      </w:r>
    </w:p>
    <w:sectPr>
      <w:pgSz w:w="11910" w:h="16840"/>
      <w:pgMar w:header="0" w:footer="1002" w:top="1360" w:bottom="1200" w:left="13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9.158569pt;margin-top:780.7995pt;width:17.3pt;height:13.05pt;mso-position-horizontal-relative:page;mso-position-vertical-relative:page;z-index:-252209152" type="#_x0000_t202" filled="false" stroked="false">
          <v:textbox inset="0,0,0,0">
            <w:txbxContent>
              <w:p>
                <w:pPr>
                  <w:pStyle w:val="BodyText"/>
                  <w:spacing w:line="245" w:lineRule="exact"/>
                  <w:ind w:left="60"/>
                  <w:rPr>
                    <w:rFonts w:ascii="Calibri"/>
                  </w:rPr>
                </w:pPr>
                <w:r>
                  <w:rPr/>
                  <w:fldChar w:fldCharType="begin"/>
                </w:r>
                <w:r>
                  <w:rPr>
                    <w:rFonts w:ascii="Calibri"/>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4"/>
      <w:numFmt w:val="decimal"/>
      <w:lvlText w:val="%1"/>
      <w:lvlJc w:val="left"/>
      <w:pPr>
        <w:ind w:left="838" w:hanging="720"/>
        <w:jc w:val="left"/>
      </w:pPr>
      <w:rPr>
        <w:rFonts w:hint="default"/>
        <w:lang w:val="en-gb" w:eastAsia="en-gb" w:bidi="en-gb"/>
      </w:rPr>
    </w:lvl>
    <w:lvl w:ilvl="1">
      <w:start w:val="0"/>
      <w:numFmt w:val="decimal"/>
      <w:lvlText w:val="%1.%2"/>
      <w:lvlJc w:val="left"/>
      <w:pPr>
        <w:ind w:left="838" w:hanging="720"/>
        <w:jc w:val="left"/>
      </w:pPr>
      <w:rPr>
        <w:rFonts w:hint="default"/>
        <w:b/>
        <w:bCs/>
        <w:spacing w:val="-1"/>
        <w:w w:val="100"/>
        <w:lang w:val="en-gb" w:eastAsia="en-gb" w:bidi="en-gb"/>
      </w:rPr>
    </w:lvl>
    <w:lvl w:ilvl="2">
      <w:start w:val="0"/>
      <w:numFmt w:val="bullet"/>
      <w:lvlText w:val=""/>
      <w:lvlJc w:val="left"/>
      <w:pPr>
        <w:ind w:left="1252" w:hanging="426"/>
      </w:pPr>
      <w:rPr>
        <w:rFonts w:hint="default" w:ascii="Symbol" w:hAnsi="Symbol" w:eastAsia="Symbol" w:cs="Symbol"/>
        <w:w w:val="100"/>
        <w:sz w:val="22"/>
        <w:szCs w:val="22"/>
        <w:lang w:val="en-gb" w:eastAsia="en-gb" w:bidi="en-gb"/>
      </w:rPr>
    </w:lvl>
    <w:lvl w:ilvl="3">
      <w:start w:val="0"/>
      <w:numFmt w:val="bullet"/>
      <w:lvlText w:val="•"/>
      <w:lvlJc w:val="left"/>
      <w:pPr>
        <w:ind w:left="3101" w:hanging="426"/>
      </w:pPr>
      <w:rPr>
        <w:rFonts w:hint="default"/>
        <w:lang w:val="en-gb" w:eastAsia="en-gb" w:bidi="en-gb"/>
      </w:rPr>
    </w:lvl>
    <w:lvl w:ilvl="4">
      <w:start w:val="0"/>
      <w:numFmt w:val="bullet"/>
      <w:lvlText w:val="•"/>
      <w:lvlJc w:val="left"/>
      <w:pPr>
        <w:ind w:left="4022" w:hanging="426"/>
      </w:pPr>
      <w:rPr>
        <w:rFonts w:hint="default"/>
        <w:lang w:val="en-gb" w:eastAsia="en-gb" w:bidi="en-gb"/>
      </w:rPr>
    </w:lvl>
    <w:lvl w:ilvl="5">
      <w:start w:val="0"/>
      <w:numFmt w:val="bullet"/>
      <w:lvlText w:val="•"/>
      <w:lvlJc w:val="left"/>
      <w:pPr>
        <w:ind w:left="4942" w:hanging="426"/>
      </w:pPr>
      <w:rPr>
        <w:rFonts w:hint="default"/>
        <w:lang w:val="en-gb" w:eastAsia="en-gb" w:bidi="en-gb"/>
      </w:rPr>
    </w:lvl>
    <w:lvl w:ilvl="6">
      <w:start w:val="0"/>
      <w:numFmt w:val="bullet"/>
      <w:lvlText w:val="•"/>
      <w:lvlJc w:val="left"/>
      <w:pPr>
        <w:ind w:left="5863" w:hanging="426"/>
      </w:pPr>
      <w:rPr>
        <w:rFonts w:hint="default"/>
        <w:lang w:val="en-gb" w:eastAsia="en-gb" w:bidi="en-gb"/>
      </w:rPr>
    </w:lvl>
    <w:lvl w:ilvl="7">
      <w:start w:val="0"/>
      <w:numFmt w:val="bullet"/>
      <w:lvlText w:val="•"/>
      <w:lvlJc w:val="left"/>
      <w:pPr>
        <w:ind w:left="6784" w:hanging="426"/>
      </w:pPr>
      <w:rPr>
        <w:rFonts w:hint="default"/>
        <w:lang w:val="en-gb" w:eastAsia="en-gb" w:bidi="en-gb"/>
      </w:rPr>
    </w:lvl>
    <w:lvl w:ilvl="8">
      <w:start w:val="0"/>
      <w:numFmt w:val="bullet"/>
      <w:lvlText w:val="•"/>
      <w:lvlJc w:val="left"/>
      <w:pPr>
        <w:ind w:left="7704" w:hanging="426"/>
      </w:pPr>
      <w:rPr>
        <w:rFonts w:hint="default"/>
        <w:lang w:val="en-gb" w:eastAsia="en-gb" w:bidi="en-gb"/>
      </w:rPr>
    </w:lvl>
  </w:abstractNum>
  <w:abstractNum w:abstractNumId="5">
    <w:multiLevelType w:val="hybridMultilevel"/>
    <w:lvl w:ilvl="0">
      <w:start w:val="3"/>
      <w:numFmt w:val="decimal"/>
      <w:lvlText w:val="%1"/>
      <w:lvlJc w:val="left"/>
      <w:pPr>
        <w:ind w:left="839" w:hanging="720"/>
        <w:jc w:val="left"/>
      </w:pPr>
      <w:rPr>
        <w:rFonts w:hint="default"/>
        <w:lang w:val="en-gb" w:eastAsia="en-gb" w:bidi="en-gb"/>
      </w:rPr>
    </w:lvl>
    <w:lvl w:ilvl="1">
      <w:start w:val="0"/>
      <w:numFmt w:val="decimal"/>
      <w:lvlText w:val="%1.%2"/>
      <w:lvlJc w:val="left"/>
      <w:pPr>
        <w:ind w:left="839" w:hanging="720"/>
        <w:jc w:val="left"/>
      </w:pPr>
      <w:rPr>
        <w:rFonts w:hint="default"/>
        <w:b/>
        <w:bCs/>
        <w:spacing w:val="-1"/>
        <w:w w:val="100"/>
        <w:lang w:val="en-gb" w:eastAsia="en-gb" w:bidi="en-gb"/>
      </w:rPr>
    </w:lvl>
    <w:lvl w:ilvl="2">
      <w:start w:val="0"/>
      <w:numFmt w:val="bullet"/>
      <w:lvlText w:val=""/>
      <w:lvlJc w:val="left"/>
      <w:pPr>
        <w:ind w:left="1251" w:hanging="425"/>
      </w:pPr>
      <w:rPr>
        <w:rFonts w:hint="default" w:ascii="Symbol" w:hAnsi="Symbol" w:eastAsia="Symbol" w:cs="Symbol"/>
        <w:w w:val="100"/>
        <w:sz w:val="22"/>
        <w:szCs w:val="22"/>
        <w:lang w:val="en-gb" w:eastAsia="en-gb" w:bidi="en-gb"/>
      </w:rPr>
    </w:lvl>
    <w:lvl w:ilvl="3">
      <w:start w:val="0"/>
      <w:numFmt w:val="bullet"/>
      <w:lvlText w:val="•"/>
      <w:lvlJc w:val="left"/>
      <w:pPr>
        <w:ind w:left="3101" w:hanging="425"/>
      </w:pPr>
      <w:rPr>
        <w:rFonts w:hint="default"/>
        <w:lang w:val="en-gb" w:eastAsia="en-gb" w:bidi="en-gb"/>
      </w:rPr>
    </w:lvl>
    <w:lvl w:ilvl="4">
      <w:start w:val="0"/>
      <w:numFmt w:val="bullet"/>
      <w:lvlText w:val="•"/>
      <w:lvlJc w:val="left"/>
      <w:pPr>
        <w:ind w:left="4022" w:hanging="425"/>
      </w:pPr>
      <w:rPr>
        <w:rFonts w:hint="default"/>
        <w:lang w:val="en-gb" w:eastAsia="en-gb" w:bidi="en-gb"/>
      </w:rPr>
    </w:lvl>
    <w:lvl w:ilvl="5">
      <w:start w:val="0"/>
      <w:numFmt w:val="bullet"/>
      <w:lvlText w:val="•"/>
      <w:lvlJc w:val="left"/>
      <w:pPr>
        <w:ind w:left="4942" w:hanging="425"/>
      </w:pPr>
      <w:rPr>
        <w:rFonts w:hint="default"/>
        <w:lang w:val="en-gb" w:eastAsia="en-gb" w:bidi="en-gb"/>
      </w:rPr>
    </w:lvl>
    <w:lvl w:ilvl="6">
      <w:start w:val="0"/>
      <w:numFmt w:val="bullet"/>
      <w:lvlText w:val="•"/>
      <w:lvlJc w:val="left"/>
      <w:pPr>
        <w:ind w:left="5863" w:hanging="425"/>
      </w:pPr>
      <w:rPr>
        <w:rFonts w:hint="default"/>
        <w:lang w:val="en-gb" w:eastAsia="en-gb" w:bidi="en-gb"/>
      </w:rPr>
    </w:lvl>
    <w:lvl w:ilvl="7">
      <w:start w:val="0"/>
      <w:numFmt w:val="bullet"/>
      <w:lvlText w:val="•"/>
      <w:lvlJc w:val="left"/>
      <w:pPr>
        <w:ind w:left="6784" w:hanging="425"/>
      </w:pPr>
      <w:rPr>
        <w:rFonts w:hint="default"/>
        <w:lang w:val="en-gb" w:eastAsia="en-gb" w:bidi="en-gb"/>
      </w:rPr>
    </w:lvl>
    <w:lvl w:ilvl="8">
      <w:start w:val="0"/>
      <w:numFmt w:val="bullet"/>
      <w:lvlText w:val="•"/>
      <w:lvlJc w:val="left"/>
      <w:pPr>
        <w:ind w:left="7704" w:hanging="425"/>
      </w:pPr>
      <w:rPr>
        <w:rFonts w:hint="default"/>
        <w:lang w:val="en-gb" w:eastAsia="en-gb" w:bidi="en-gb"/>
      </w:rPr>
    </w:lvl>
  </w:abstractNum>
  <w:abstractNum w:abstractNumId="4">
    <w:multiLevelType w:val="hybridMultilevel"/>
    <w:lvl w:ilvl="0">
      <w:start w:val="2"/>
      <w:numFmt w:val="decimal"/>
      <w:lvlText w:val="%1"/>
      <w:lvlJc w:val="left"/>
      <w:pPr>
        <w:ind w:left="839" w:hanging="720"/>
        <w:jc w:val="left"/>
      </w:pPr>
      <w:rPr>
        <w:rFonts w:hint="default"/>
        <w:lang w:val="en-gb" w:eastAsia="en-gb" w:bidi="en-gb"/>
      </w:rPr>
    </w:lvl>
    <w:lvl w:ilvl="1">
      <w:start w:val="0"/>
      <w:numFmt w:val="decimal"/>
      <w:lvlText w:val="%1.%2"/>
      <w:lvlJc w:val="left"/>
      <w:pPr>
        <w:ind w:left="839" w:hanging="720"/>
        <w:jc w:val="left"/>
      </w:pPr>
      <w:rPr>
        <w:rFonts w:hint="default"/>
        <w:b/>
        <w:bCs/>
        <w:spacing w:val="-1"/>
        <w:w w:val="100"/>
        <w:lang w:val="en-gb" w:eastAsia="en-gb" w:bidi="en-gb"/>
      </w:rPr>
    </w:lvl>
    <w:lvl w:ilvl="2">
      <w:start w:val="0"/>
      <w:numFmt w:val="bullet"/>
      <w:lvlText w:val=""/>
      <w:lvlJc w:val="left"/>
      <w:pPr>
        <w:ind w:left="1251" w:hanging="425"/>
      </w:pPr>
      <w:rPr>
        <w:rFonts w:hint="default" w:ascii="Symbol" w:hAnsi="Symbol" w:eastAsia="Symbol" w:cs="Symbol"/>
        <w:w w:val="100"/>
        <w:sz w:val="22"/>
        <w:szCs w:val="22"/>
        <w:lang w:val="en-gb" w:eastAsia="en-gb" w:bidi="en-gb"/>
      </w:rPr>
    </w:lvl>
    <w:lvl w:ilvl="3">
      <w:start w:val="0"/>
      <w:numFmt w:val="bullet"/>
      <w:lvlText w:val="•"/>
      <w:lvlJc w:val="left"/>
      <w:pPr>
        <w:ind w:left="3101" w:hanging="425"/>
      </w:pPr>
      <w:rPr>
        <w:rFonts w:hint="default"/>
        <w:lang w:val="en-gb" w:eastAsia="en-gb" w:bidi="en-gb"/>
      </w:rPr>
    </w:lvl>
    <w:lvl w:ilvl="4">
      <w:start w:val="0"/>
      <w:numFmt w:val="bullet"/>
      <w:lvlText w:val="•"/>
      <w:lvlJc w:val="left"/>
      <w:pPr>
        <w:ind w:left="4022" w:hanging="425"/>
      </w:pPr>
      <w:rPr>
        <w:rFonts w:hint="default"/>
        <w:lang w:val="en-gb" w:eastAsia="en-gb" w:bidi="en-gb"/>
      </w:rPr>
    </w:lvl>
    <w:lvl w:ilvl="5">
      <w:start w:val="0"/>
      <w:numFmt w:val="bullet"/>
      <w:lvlText w:val="•"/>
      <w:lvlJc w:val="left"/>
      <w:pPr>
        <w:ind w:left="4942" w:hanging="425"/>
      </w:pPr>
      <w:rPr>
        <w:rFonts w:hint="default"/>
        <w:lang w:val="en-gb" w:eastAsia="en-gb" w:bidi="en-gb"/>
      </w:rPr>
    </w:lvl>
    <w:lvl w:ilvl="6">
      <w:start w:val="0"/>
      <w:numFmt w:val="bullet"/>
      <w:lvlText w:val="•"/>
      <w:lvlJc w:val="left"/>
      <w:pPr>
        <w:ind w:left="5863" w:hanging="425"/>
      </w:pPr>
      <w:rPr>
        <w:rFonts w:hint="default"/>
        <w:lang w:val="en-gb" w:eastAsia="en-gb" w:bidi="en-gb"/>
      </w:rPr>
    </w:lvl>
    <w:lvl w:ilvl="7">
      <w:start w:val="0"/>
      <w:numFmt w:val="bullet"/>
      <w:lvlText w:val="•"/>
      <w:lvlJc w:val="left"/>
      <w:pPr>
        <w:ind w:left="6784" w:hanging="425"/>
      </w:pPr>
      <w:rPr>
        <w:rFonts w:hint="default"/>
        <w:lang w:val="en-gb" w:eastAsia="en-gb" w:bidi="en-gb"/>
      </w:rPr>
    </w:lvl>
    <w:lvl w:ilvl="8">
      <w:start w:val="0"/>
      <w:numFmt w:val="bullet"/>
      <w:lvlText w:val="•"/>
      <w:lvlJc w:val="left"/>
      <w:pPr>
        <w:ind w:left="7704" w:hanging="425"/>
      </w:pPr>
      <w:rPr>
        <w:rFonts w:hint="default"/>
        <w:lang w:val="en-gb" w:eastAsia="en-gb" w:bidi="en-gb"/>
      </w:rPr>
    </w:lvl>
  </w:abstractNum>
  <w:abstractNum w:abstractNumId="3">
    <w:multiLevelType w:val="hybridMultilevel"/>
    <w:lvl w:ilvl="0">
      <w:start w:val="1"/>
      <w:numFmt w:val="decimal"/>
      <w:lvlText w:val="%1"/>
      <w:lvlJc w:val="left"/>
      <w:pPr>
        <w:ind w:left="480" w:hanging="360"/>
        <w:jc w:val="left"/>
      </w:pPr>
      <w:rPr>
        <w:rFonts w:hint="default"/>
        <w:lang w:val="en-gb" w:eastAsia="en-gb" w:bidi="en-gb"/>
      </w:rPr>
    </w:lvl>
    <w:lvl w:ilvl="1">
      <w:start w:val="0"/>
      <w:numFmt w:val="decimal"/>
      <w:lvlText w:val="%1.%2"/>
      <w:lvlJc w:val="left"/>
      <w:pPr>
        <w:ind w:left="480" w:hanging="360"/>
        <w:jc w:val="left"/>
      </w:pPr>
      <w:rPr>
        <w:rFonts w:hint="default"/>
        <w:b/>
        <w:bCs/>
        <w:spacing w:val="-1"/>
        <w:w w:val="100"/>
        <w:lang w:val="en-gb" w:eastAsia="en-gb" w:bidi="en-gb"/>
      </w:rPr>
    </w:lvl>
    <w:lvl w:ilvl="2">
      <w:start w:val="0"/>
      <w:numFmt w:val="bullet"/>
      <w:lvlText w:val="•"/>
      <w:lvlJc w:val="left"/>
      <w:pPr>
        <w:ind w:left="2293" w:hanging="360"/>
      </w:pPr>
      <w:rPr>
        <w:rFonts w:hint="default"/>
        <w:lang w:val="en-gb" w:eastAsia="en-gb" w:bidi="en-gb"/>
      </w:rPr>
    </w:lvl>
    <w:lvl w:ilvl="3">
      <w:start w:val="0"/>
      <w:numFmt w:val="bullet"/>
      <w:lvlText w:val="•"/>
      <w:lvlJc w:val="left"/>
      <w:pPr>
        <w:ind w:left="3199" w:hanging="360"/>
      </w:pPr>
      <w:rPr>
        <w:rFonts w:hint="default"/>
        <w:lang w:val="en-gb" w:eastAsia="en-gb" w:bidi="en-gb"/>
      </w:rPr>
    </w:lvl>
    <w:lvl w:ilvl="4">
      <w:start w:val="0"/>
      <w:numFmt w:val="bullet"/>
      <w:lvlText w:val="•"/>
      <w:lvlJc w:val="left"/>
      <w:pPr>
        <w:ind w:left="4106" w:hanging="360"/>
      </w:pPr>
      <w:rPr>
        <w:rFonts w:hint="default"/>
        <w:lang w:val="en-gb" w:eastAsia="en-gb" w:bidi="en-gb"/>
      </w:rPr>
    </w:lvl>
    <w:lvl w:ilvl="5">
      <w:start w:val="0"/>
      <w:numFmt w:val="bullet"/>
      <w:lvlText w:val="•"/>
      <w:lvlJc w:val="left"/>
      <w:pPr>
        <w:ind w:left="5013" w:hanging="360"/>
      </w:pPr>
      <w:rPr>
        <w:rFonts w:hint="default"/>
        <w:lang w:val="en-gb" w:eastAsia="en-gb" w:bidi="en-gb"/>
      </w:rPr>
    </w:lvl>
    <w:lvl w:ilvl="6">
      <w:start w:val="0"/>
      <w:numFmt w:val="bullet"/>
      <w:lvlText w:val="•"/>
      <w:lvlJc w:val="left"/>
      <w:pPr>
        <w:ind w:left="5919" w:hanging="360"/>
      </w:pPr>
      <w:rPr>
        <w:rFonts w:hint="default"/>
        <w:lang w:val="en-gb" w:eastAsia="en-gb" w:bidi="en-gb"/>
      </w:rPr>
    </w:lvl>
    <w:lvl w:ilvl="7">
      <w:start w:val="0"/>
      <w:numFmt w:val="bullet"/>
      <w:lvlText w:val="•"/>
      <w:lvlJc w:val="left"/>
      <w:pPr>
        <w:ind w:left="6826" w:hanging="360"/>
      </w:pPr>
      <w:rPr>
        <w:rFonts w:hint="default"/>
        <w:lang w:val="en-gb" w:eastAsia="en-gb" w:bidi="en-gb"/>
      </w:rPr>
    </w:lvl>
    <w:lvl w:ilvl="8">
      <w:start w:val="0"/>
      <w:numFmt w:val="bullet"/>
      <w:lvlText w:val="•"/>
      <w:lvlJc w:val="left"/>
      <w:pPr>
        <w:ind w:left="7733" w:hanging="360"/>
      </w:pPr>
      <w:rPr>
        <w:rFonts w:hint="default"/>
        <w:lang w:val="en-gb" w:eastAsia="en-gb" w:bidi="en-gb"/>
      </w:rPr>
    </w:lvl>
  </w:abstractNum>
  <w:abstractNum w:abstractNumId="2">
    <w:multiLevelType w:val="hybridMultilevel"/>
    <w:lvl w:ilvl="0">
      <w:start w:val="0"/>
      <w:numFmt w:val="bullet"/>
      <w:lvlText w:val=""/>
      <w:lvlJc w:val="left"/>
      <w:pPr>
        <w:ind w:left="481" w:hanging="361"/>
      </w:pPr>
      <w:rPr>
        <w:rFonts w:hint="default"/>
        <w:w w:val="100"/>
        <w:lang w:val="en-gb" w:eastAsia="en-gb" w:bidi="en-gb"/>
      </w:rPr>
    </w:lvl>
    <w:lvl w:ilvl="1">
      <w:start w:val="0"/>
      <w:numFmt w:val="bullet"/>
      <w:lvlText w:val="•"/>
      <w:lvlJc w:val="left"/>
      <w:pPr>
        <w:ind w:left="1386" w:hanging="361"/>
      </w:pPr>
      <w:rPr>
        <w:rFonts w:hint="default"/>
        <w:lang w:val="en-gb" w:eastAsia="en-gb" w:bidi="en-gb"/>
      </w:rPr>
    </w:lvl>
    <w:lvl w:ilvl="2">
      <w:start w:val="0"/>
      <w:numFmt w:val="bullet"/>
      <w:lvlText w:val="•"/>
      <w:lvlJc w:val="left"/>
      <w:pPr>
        <w:ind w:left="2293" w:hanging="361"/>
      </w:pPr>
      <w:rPr>
        <w:rFonts w:hint="default"/>
        <w:lang w:val="en-gb" w:eastAsia="en-gb" w:bidi="en-gb"/>
      </w:rPr>
    </w:lvl>
    <w:lvl w:ilvl="3">
      <w:start w:val="0"/>
      <w:numFmt w:val="bullet"/>
      <w:lvlText w:val="•"/>
      <w:lvlJc w:val="left"/>
      <w:pPr>
        <w:ind w:left="3199" w:hanging="361"/>
      </w:pPr>
      <w:rPr>
        <w:rFonts w:hint="default"/>
        <w:lang w:val="en-gb" w:eastAsia="en-gb" w:bidi="en-gb"/>
      </w:rPr>
    </w:lvl>
    <w:lvl w:ilvl="4">
      <w:start w:val="0"/>
      <w:numFmt w:val="bullet"/>
      <w:lvlText w:val="•"/>
      <w:lvlJc w:val="left"/>
      <w:pPr>
        <w:ind w:left="4106" w:hanging="361"/>
      </w:pPr>
      <w:rPr>
        <w:rFonts w:hint="default"/>
        <w:lang w:val="en-gb" w:eastAsia="en-gb" w:bidi="en-gb"/>
      </w:rPr>
    </w:lvl>
    <w:lvl w:ilvl="5">
      <w:start w:val="0"/>
      <w:numFmt w:val="bullet"/>
      <w:lvlText w:val="•"/>
      <w:lvlJc w:val="left"/>
      <w:pPr>
        <w:ind w:left="5013" w:hanging="361"/>
      </w:pPr>
      <w:rPr>
        <w:rFonts w:hint="default"/>
        <w:lang w:val="en-gb" w:eastAsia="en-gb" w:bidi="en-gb"/>
      </w:rPr>
    </w:lvl>
    <w:lvl w:ilvl="6">
      <w:start w:val="0"/>
      <w:numFmt w:val="bullet"/>
      <w:lvlText w:val="•"/>
      <w:lvlJc w:val="left"/>
      <w:pPr>
        <w:ind w:left="5919" w:hanging="361"/>
      </w:pPr>
      <w:rPr>
        <w:rFonts w:hint="default"/>
        <w:lang w:val="en-gb" w:eastAsia="en-gb" w:bidi="en-gb"/>
      </w:rPr>
    </w:lvl>
    <w:lvl w:ilvl="7">
      <w:start w:val="0"/>
      <w:numFmt w:val="bullet"/>
      <w:lvlText w:val="•"/>
      <w:lvlJc w:val="left"/>
      <w:pPr>
        <w:ind w:left="6826" w:hanging="361"/>
      </w:pPr>
      <w:rPr>
        <w:rFonts w:hint="default"/>
        <w:lang w:val="en-gb" w:eastAsia="en-gb" w:bidi="en-gb"/>
      </w:rPr>
    </w:lvl>
    <w:lvl w:ilvl="8">
      <w:start w:val="0"/>
      <w:numFmt w:val="bullet"/>
      <w:lvlText w:val="•"/>
      <w:lvlJc w:val="left"/>
      <w:pPr>
        <w:ind w:left="7733" w:hanging="361"/>
      </w:pPr>
      <w:rPr>
        <w:rFonts w:hint="default"/>
        <w:lang w:val="en-gb" w:eastAsia="en-gb" w:bidi="en-gb"/>
      </w:rPr>
    </w:lvl>
  </w:abstractNum>
  <w:abstractNum w:abstractNumId="1">
    <w:multiLevelType w:val="hybridMultilevel"/>
    <w:lvl w:ilvl="0">
      <w:start w:val="0"/>
      <w:numFmt w:val="bullet"/>
      <w:lvlText w:val="•"/>
      <w:lvlJc w:val="left"/>
      <w:pPr>
        <w:ind w:left="583" w:hanging="464"/>
      </w:pPr>
      <w:rPr>
        <w:rFonts w:hint="default" w:ascii="Arial" w:hAnsi="Arial" w:eastAsia="Arial" w:cs="Arial"/>
        <w:spacing w:val="-4"/>
        <w:w w:val="100"/>
        <w:sz w:val="24"/>
        <w:szCs w:val="24"/>
        <w:lang w:val="en-gb" w:eastAsia="en-gb" w:bidi="en-gb"/>
      </w:rPr>
    </w:lvl>
    <w:lvl w:ilvl="1">
      <w:start w:val="0"/>
      <w:numFmt w:val="bullet"/>
      <w:lvlText w:val="•"/>
      <w:lvlJc w:val="left"/>
      <w:pPr>
        <w:ind w:left="1476" w:hanging="464"/>
      </w:pPr>
      <w:rPr>
        <w:rFonts w:hint="default"/>
        <w:lang w:val="en-gb" w:eastAsia="en-gb" w:bidi="en-gb"/>
      </w:rPr>
    </w:lvl>
    <w:lvl w:ilvl="2">
      <w:start w:val="0"/>
      <w:numFmt w:val="bullet"/>
      <w:lvlText w:val="•"/>
      <w:lvlJc w:val="left"/>
      <w:pPr>
        <w:ind w:left="2373" w:hanging="464"/>
      </w:pPr>
      <w:rPr>
        <w:rFonts w:hint="default"/>
        <w:lang w:val="en-gb" w:eastAsia="en-gb" w:bidi="en-gb"/>
      </w:rPr>
    </w:lvl>
    <w:lvl w:ilvl="3">
      <w:start w:val="0"/>
      <w:numFmt w:val="bullet"/>
      <w:lvlText w:val="•"/>
      <w:lvlJc w:val="left"/>
      <w:pPr>
        <w:ind w:left="3269" w:hanging="464"/>
      </w:pPr>
      <w:rPr>
        <w:rFonts w:hint="default"/>
        <w:lang w:val="en-gb" w:eastAsia="en-gb" w:bidi="en-gb"/>
      </w:rPr>
    </w:lvl>
    <w:lvl w:ilvl="4">
      <w:start w:val="0"/>
      <w:numFmt w:val="bullet"/>
      <w:lvlText w:val="•"/>
      <w:lvlJc w:val="left"/>
      <w:pPr>
        <w:ind w:left="4166" w:hanging="464"/>
      </w:pPr>
      <w:rPr>
        <w:rFonts w:hint="default"/>
        <w:lang w:val="en-gb" w:eastAsia="en-gb" w:bidi="en-gb"/>
      </w:rPr>
    </w:lvl>
    <w:lvl w:ilvl="5">
      <w:start w:val="0"/>
      <w:numFmt w:val="bullet"/>
      <w:lvlText w:val="•"/>
      <w:lvlJc w:val="left"/>
      <w:pPr>
        <w:ind w:left="5063" w:hanging="464"/>
      </w:pPr>
      <w:rPr>
        <w:rFonts w:hint="default"/>
        <w:lang w:val="en-gb" w:eastAsia="en-gb" w:bidi="en-gb"/>
      </w:rPr>
    </w:lvl>
    <w:lvl w:ilvl="6">
      <w:start w:val="0"/>
      <w:numFmt w:val="bullet"/>
      <w:lvlText w:val="•"/>
      <w:lvlJc w:val="left"/>
      <w:pPr>
        <w:ind w:left="5959" w:hanging="464"/>
      </w:pPr>
      <w:rPr>
        <w:rFonts w:hint="default"/>
        <w:lang w:val="en-gb" w:eastAsia="en-gb" w:bidi="en-gb"/>
      </w:rPr>
    </w:lvl>
    <w:lvl w:ilvl="7">
      <w:start w:val="0"/>
      <w:numFmt w:val="bullet"/>
      <w:lvlText w:val="•"/>
      <w:lvlJc w:val="left"/>
      <w:pPr>
        <w:ind w:left="6856" w:hanging="464"/>
      </w:pPr>
      <w:rPr>
        <w:rFonts w:hint="default"/>
        <w:lang w:val="en-gb" w:eastAsia="en-gb" w:bidi="en-gb"/>
      </w:rPr>
    </w:lvl>
    <w:lvl w:ilvl="8">
      <w:start w:val="0"/>
      <w:numFmt w:val="bullet"/>
      <w:lvlText w:val="•"/>
      <w:lvlJc w:val="left"/>
      <w:pPr>
        <w:ind w:left="7753" w:hanging="464"/>
      </w:pPr>
      <w:rPr>
        <w:rFonts w:hint="default"/>
        <w:lang w:val="en-gb" w:eastAsia="en-gb" w:bidi="en-gb"/>
      </w:rPr>
    </w:lvl>
  </w:abstractNum>
  <w:abstractNum w:abstractNumId="0">
    <w:multiLevelType w:val="hybridMultilevel"/>
    <w:lvl w:ilvl="0">
      <w:start w:val="1"/>
      <w:numFmt w:val="decimal"/>
      <w:lvlText w:val="%1."/>
      <w:lvlJc w:val="left"/>
      <w:pPr>
        <w:ind w:left="840" w:hanging="721"/>
        <w:jc w:val="left"/>
      </w:pPr>
      <w:rPr>
        <w:rFonts w:hint="default" w:ascii="Arial" w:hAnsi="Arial" w:eastAsia="Arial" w:cs="Arial"/>
        <w:b/>
        <w:bCs/>
        <w:spacing w:val="-1"/>
        <w:w w:val="100"/>
        <w:sz w:val="22"/>
        <w:szCs w:val="22"/>
        <w:lang w:val="en-gb" w:eastAsia="en-gb" w:bidi="en-gb"/>
      </w:rPr>
    </w:lvl>
    <w:lvl w:ilvl="1">
      <w:start w:val="0"/>
      <w:numFmt w:val="bullet"/>
      <w:lvlText w:val=""/>
      <w:lvlJc w:val="left"/>
      <w:pPr>
        <w:ind w:left="840" w:hanging="361"/>
      </w:pPr>
      <w:rPr>
        <w:rFonts w:hint="default" w:ascii="Symbol" w:hAnsi="Symbol" w:eastAsia="Symbol" w:cs="Symbol"/>
        <w:w w:val="100"/>
        <w:sz w:val="22"/>
        <w:szCs w:val="22"/>
        <w:lang w:val="en-gb" w:eastAsia="en-gb" w:bidi="en-gb"/>
      </w:rPr>
    </w:lvl>
    <w:lvl w:ilvl="2">
      <w:start w:val="0"/>
      <w:numFmt w:val="bullet"/>
      <w:lvlText w:val="•"/>
      <w:lvlJc w:val="left"/>
      <w:pPr>
        <w:ind w:left="2581" w:hanging="361"/>
      </w:pPr>
      <w:rPr>
        <w:rFonts w:hint="default"/>
        <w:lang w:val="en-gb" w:eastAsia="en-gb" w:bidi="en-gb"/>
      </w:rPr>
    </w:lvl>
    <w:lvl w:ilvl="3">
      <w:start w:val="0"/>
      <w:numFmt w:val="bullet"/>
      <w:lvlText w:val="•"/>
      <w:lvlJc w:val="left"/>
      <w:pPr>
        <w:ind w:left="3451" w:hanging="361"/>
      </w:pPr>
      <w:rPr>
        <w:rFonts w:hint="default"/>
        <w:lang w:val="en-gb" w:eastAsia="en-gb" w:bidi="en-gb"/>
      </w:rPr>
    </w:lvl>
    <w:lvl w:ilvl="4">
      <w:start w:val="0"/>
      <w:numFmt w:val="bullet"/>
      <w:lvlText w:val="•"/>
      <w:lvlJc w:val="left"/>
      <w:pPr>
        <w:ind w:left="4322" w:hanging="361"/>
      </w:pPr>
      <w:rPr>
        <w:rFonts w:hint="default"/>
        <w:lang w:val="en-gb" w:eastAsia="en-gb" w:bidi="en-gb"/>
      </w:rPr>
    </w:lvl>
    <w:lvl w:ilvl="5">
      <w:start w:val="0"/>
      <w:numFmt w:val="bullet"/>
      <w:lvlText w:val="•"/>
      <w:lvlJc w:val="left"/>
      <w:pPr>
        <w:ind w:left="5193" w:hanging="361"/>
      </w:pPr>
      <w:rPr>
        <w:rFonts w:hint="default"/>
        <w:lang w:val="en-gb" w:eastAsia="en-gb" w:bidi="en-gb"/>
      </w:rPr>
    </w:lvl>
    <w:lvl w:ilvl="6">
      <w:start w:val="0"/>
      <w:numFmt w:val="bullet"/>
      <w:lvlText w:val="•"/>
      <w:lvlJc w:val="left"/>
      <w:pPr>
        <w:ind w:left="6063" w:hanging="361"/>
      </w:pPr>
      <w:rPr>
        <w:rFonts w:hint="default"/>
        <w:lang w:val="en-gb" w:eastAsia="en-gb" w:bidi="en-gb"/>
      </w:rPr>
    </w:lvl>
    <w:lvl w:ilvl="7">
      <w:start w:val="0"/>
      <w:numFmt w:val="bullet"/>
      <w:lvlText w:val="•"/>
      <w:lvlJc w:val="left"/>
      <w:pPr>
        <w:ind w:left="6934" w:hanging="361"/>
      </w:pPr>
      <w:rPr>
        <w:rFonts w:hint="default"/>
        <w:lang w:val="en-gb" w:eastAsia="en-gb" w:bidi="en-gb"/>
      </w:rPr>
    </w:lvl>
    <w:lvl w:ilvl="8">
      <w:start w:val="0"/>
      <w:numFmt w:val="bullet"/>
      <w:lvlText w:val="•"/>
      <w:lvlJc w:val="left"/>
      <w:pPr>
        <w:ind w:left="7805" w:hanging="361"/>
      </w:pPr>
      <w:rPr>
        <w:rFonts w:hint="default"/>
        <w:lang w:val="en-gb" w:eastAsia="en-gb" w:bidi="en-gb"/>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2"/>
      <w:szCs w:val="22"/>
      <w:lang w:val="en-gb" w:eastAsia="en-gb" w:bidi="en-gb"/>
    </w:rPr>
  </w:style>
  <w:style w:styleId="Heading1" w:type="paragraph">
    <w:name w:val="Heading 1"/>
    <w:basedOn w:val="Normal"/>
    <w:uiPriority w:val="1"/>
    <w:qFormat/>
    <w:pPr>
      <w:spacing w:before="166"/>
      <w:ind w:left="477" w:hanging="358"/>
      <w:outlineLvl w:val="1"/>
    </w:pPr>
    <w:rPr>
      <w:rFonts w:ascii="Calibri" w:hAnsi="Calibri" w:eastAsia="Calibri" w:cs="Calibri"/>
      <w:sz w:val="24"/>
      <w:szCs w:val="24"/>
      <w:lang w:val="en-gb" w:eastAsia="en-gb" w:bidi="en-gb"/>
    </w:rPr>
  </w:style>
  <w:style w:styleId="Heading2" w:type="paragraph">
    <w:name w:val="Heading 2"/>
    <w:basedOn w:val="Normal"/>
    <w:uiPriority w:val="1"/>
    <w:qFormat/>
    <w:pPr>
      <w:ind w:left="839" w:hanging="721"/>
      <w:outlineLvl w:val="2"/>
    </w:pPr>
    <w:rPr>
      <w:rFonts w:ascii="Arial" w:hAnsi="Arial" w:eastAsia="Arial" w:cs="Arial"/>
      <w:b/>
      <w:bCs/>
      <w:sz w:val="22"/>
      <w:szCs w:val="22"/>
      <w:lang w:val="en-gb" w:eastAsia="en-gb" w:bidi="en-gb"/>
    </w:rPr>
  </w:style>
  <w:style w:styleId="ListParagraph" w:type="paragraph">
    <w:name w:val="List Paragraph"/>
    <w:basedOn w:val="Normal"/>
    <w:uiPriority w:val="1"/>
    <w:qFormat/>
    <w:pPr>
      <w:ind w:left="477" w:hanging="721"/>
    </w:pPr>
    <w:rPr>
      <w:rFonts w:ascii="Arial" w:hAnsi="Arial" w:eastAsia="Arial" w:cs="Arial"/>
      <w:lang w:val="en-gb" w:eastAsia="en-gb" w:bidi="en-gb"/>
    </w:rPr>
  </w:style>
  <w:style w:styleId="TableParagraph" w:type="paragraph">
    <w:name w:val="Table Paragraph"/>
    <w:basedOn w:val="Normal"/>
    <w:uiPriority w:val="1"/>
    <w:qFormat/>
    <w:pPr>
      <w:ind w:left="78"/>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Barker Emma (RW3) CMFT Manchester</dc:creator>
  <dcterms:created xsi:type="dcterms:W3CDTF">2023-06-19T08:28:15Z</dcterms:created>
  <dcterms:modified xsi:type="dcterms:W3CDTF">2023-06-19T08:28:15Z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Acrobat PDFMaker 23 for Word</vt:lpwstr>
  </property>
  <property fmtid="{D5CDD505-2E9C-101B-9397-08002B2CF9AE}" pid="4" name="LastSaved">
    <vt:filetime>2023-06-19T00:00:00Z</vt:filetime>
  </property>
</Properties>
</file>